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芜湖市医疗保障局  芜湖市卫生健康委员会</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关于制定部分医疗服务价格项目</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方正小标宋_GBK" w:cs="Times New Roman"/>
          <w:color w:val="000000"/>
          <w:sz w:val="44"/>
          <w:szCs w:val="44"/>
        </w:rPr>
        <w:t>政府指导价的通知</w:t>
      </w:r>
    </w:p>
    <w:p>
      <w:pPr>
        <w:keepNext w:val="0"/>
        <w:keepLines w:val="0"/>
        <w:pageBreakBefore w:val="0"/>
        <w:widowControl w:val="0"/>
        <w:kinsoku/>
        <w:wordWrap/>
        <w:overflowPunct/>
        <w:topLinePunct w:val="0"/>
        <w:autoSpaceDE/>
        <w:autoSpaceDN/>
        <w:bidi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芜医保</w:t>
      </w:r>
      <w:r>
        <w:rPr>
          <w:rFonts w:hint="default" w:ascii="Times New Roman" w:hAnsi="Times New Roman" w:eastAsia="方正仿宋_GBK" w:cs="Times New Roman"/>
          <w:sz w:val="32"/>
          <w:szCs w:val="32"/>
          <w:lang w:eastAsia="zh-CN"/>
        </w:rPr>
        <w:t>价采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spacing w:line="590" w:lineRule="exac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各县市区医保局、卫生健康委，市医保中心，市属公立医疗机构：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color w:val="000000"/>
          <w:sz w:val="32"/>
          <w:szCs w:val="32"/>
        </w:rPr>
        <w:t>为进一步规范医疗服务价格，促进医疗技术进步与发展，更好地满足广大群众的医疗需求，根据《安徽省医疗保障局安徽省卫生健康委员会关于制定</w:t>
      </w:r>
      <w:r>
        <w:rPr>
          <w:rFonts w:hint="default" w:ascii="Times New Roman" w:hAnsi="Times New Roman" w:eastAsia="方正仿宋_GBK" w:cs="Times New Roman"/>
          <w:kern w:val="2"/>
          <w:sz w:val="32"/>
          <w:szCs w:val="32"/>
          <w:u w:val="none"/>
          <w:shd w:val="clear" w:color="auto" w:fill="auto"/>
          <w:lang w:val="en-US" w:eastAsia="zh-CN" w:bidi="ar-SA"/>
        </w:rPr>
        <w:t>部分医疗服务价格项目政府指导价的通知》（皖医保秘〔</w:t>
      </w:r>
      <w:r>
        <w:rPr>
          <w:rFonts w:hint="default" w:ascii="Times New Roman" w:hAnsi="Times New Roman" w:eastAsia="方正仿宋_GBK" w:cs="Times New Roman"/>
          <w:sz w:val="32"/>
          <w:szCs w:val="32"/>
          <w:lang w:val="en-US" w:eastAsia="en-US"/>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kern w:val="2"/>
          <w:sz w:val="32"/>
          <w:szCs w:val="32"/>
          <w:u w:val="none"/>
          <w:shd w:val="clear" w:color="auto" w:fill="auto"/>
          <w:lang w:val="en-US" w:eastAsia="zh-CN" w:bidi="ar-SA"/>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kern w:val="2"/>
          <w:sz w:val="32"/>
          <w:szCs w:val="32"/>
          <w:u w:val="none"/>
          <w:shd w:val="clear" w:color="auto" w:fill="auto"/>
          <w:lang w:val="en-US" w:eastAsia="zh-CN" w:bidi="ar-SA"/>
        </w:rPr>
        <w:t>号）和《安徽省医疗保障局安徽省卫生健康 委员会安徽省财政厅安徽省市场监督管理局关于做好当前医疗服务价格动态调整工作的通知》（皖医保秘〔</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kern w:val="2"/>
          <w:sz w:val="32"/>
          <w:szCs w:val="32"/>
          <w:u w:val="none"/>
          <w:shd w:val="clear" w:color="auto" w:fill="auto"/>
          <w:lang w:val="en-US" w:eastAsia="zh-CN" w:bidi="ar-SA"/>
        </w:rPr>
        <w:t>〕</w:t>
      </w:r>
      <w:r>
        <w:rPr>
          <w:rFonts w:hint="default" w:ascii="Times New Roman" w:hAnsi="Times New Roman" w:eastAsia="方正仿宋_GBK" w:cs="Times New Roman"/>
          <w:sz w:val="32"/>
          <w:szCs w:val="32"/>
          <w:lang w:val="en-US" w:eastAsia="zh-CN"/>
        </w:rPr>
        <w:t>74</w:t>
      </w:r>
      <w:r>
        <w:rPr>
          <w:rFonts w:hint="default" w:ascii="Times New Roman" w:hAnsi="Times New Roman" w:eastAsia="方正仿宋_GBK" w:cs="Times New Roman"/>
          <w:kern w:val="2"/>
          <w:sz w:val="32"/>
          <w:szCs w:val="32"/>
          <w:u w:val="none"/>
          <w:shd w:val="clear" w:color="auto" w:fill="auto"/>
          <w:lang w:val="en-US" w:eastAsia="zh-CN" w:bidi="ar-SA"/>
        </w:rPr>
        <w:t>号）等文件精神，本着同城同价的原则，经市医药价格审议会议审议通过，对部分医疗服务项目制定政府指导价，现就有关事项通知如下：</w:t>
      </w:r>
    </w:p>
    <w:p>
      <w:pPr>
        <w:pStyle w:val="20"/>
        <w:keepNext w:val="0"/>
        <w:keepLines w:val="0"/>
        <w:pageBreakBefore w:val="0"/>
        <w:widowControl w:val="0"/>
        <w:shd w:val="clear" w:color="auto" w:fill="auto"/>
        <w:tabs>
          <w:tab w:val="left" w:pos="1273"/>
        </w:tabs>
        <w:kinsoku/>
        <w:wordWrap/>
        <w:overflowPunct/>
        <w:topLinePunct w:val="0"/>
        <w:autoSpaceDE/>
        <w:autoSpaceDN/>
        <w:bidi w:val="0"/>
        <w:adjustRightInd/>
        <w:snapToGrid/>
        <w:spacing w:before="0" w:after="0" w:line="590" w:lineRule="exact"/>
        <w:ind w:left="0" w:right="0" w:firstLine="660"/>
        <w:jc w:val="left"/>
        <w:textAlignment w:val="auto"/>
        <w:rPr>
          <w:rFonts w:hint="default" w:ascii="Times New Roman" w:hAnsi="Times New Roman" w:eastAsia="方正仿宋_GBK" w:cs="Times New Roman"/>
          <w:kern w:val="2"/>
          <w:sz w:val="32"/>
          <w:szCs w:val="32"/>
          <w:u w:val="none"/>
          <w:shd w:val="clear" w:color="auto" w:fill="auto"/>
          <w:lang w:val="en-US" w:eastAsia="zh-CN" w:bidi="ar-SA"/>
        </w:rPr>
      </w:pPr>
      <w:bookmarkStart w:id="0" w:name="bookmark6"/>
      <w:r>
        <w:rPr>
          <w:rFonts w:hint="default" w:ascii="Times New Roman" w:hAnsi="Times New Roman" w:eastAsia="方正黑体_GBK" w:cs="Times New Roman"/>
          <w:kern w:val="2"/>
          <w:sz w:val="32"/>
          <w:szCs w:val="32"/>
          <w:u w:val="none"/>
          <w:shd w:val="clear" w:color="auto" w:fill="auto"/>
          <w:lang w:val="en-US" w:eastAsia="zh-CN" w:bidi="ar-SA"/>
        </w:rPr>
        <w:t>一</w:t>
      </w:r>
      <w:bookmarkEnd w:id="0"/>
      <w:r>
        <w:rPr>
          <w:rFonts w:hint="default" w:ascii="Times New Roman" w:hAnsi="Times New Roman" w:eastAsia="方正黑体_GBK" w:cs="Times New Roman"/>
          <w:kern w:val="2"/>
          <w:sz w:val="32"/>
          <w:szCs w:val="32"/>
          <w:u w:val="none"/>
          <w:shd w:val="clear" w:color="auto" w:fill="auto"/>
          <w:lang w:val="en-US" w:eastAsia="zh-CN" w:bidi="ar-SA"/>
        </w:rPr>
        <w:t>、</w:t>
      </w:r>
      <w:r>
        <w:rPr>
          <w:rFonts w:hint="default" w:ascii="Times New Roman" w:hAnsi="Times New Roman" w:eastAsia="方正仿宋_GBK" w:cs="Times New Roman"/>
          <w:kern w:val="2"/>
          <w:sz w:val="32"/>
          <w:szCs w:val="32"/>
          <w:u w:val="none"/>
          <w:shd w:val="clear"/>
          <w:lang w:val="en-US" w:eastAsia="zh-CN" w:bidi="ar-SA"/>
        </w:rPr>
        <w:t>33</w:t>
      </w:r>
      <w:r>
        <w:rPr>
          <w:rFonts w:hint="default" w:ascii="Times New Roman" w:hAnsi="Times New Roman" w:eastAsia="方正仿宋_GBK" w:cs="Times New Roman"/>
          <w:kern w:val="2"/>
          <w:sz w:val="32"/>
          <w:szCs w:val="32"/>
          <w:u w:val="none"/>
          <w:shd w:val="clear" w:color="auto" w:fill="auto"/>
          <w:lang w:val="en-US" w:eastAsia="zh-CN" w:bidi="ar-SA"/>
        </w:rPr>
        <w:t>个医疗服务项目政府指导价及医保支付类型见附件。本文项目价格为市属三级公立医疗机构最高政府指导价，不得上浮。二级和一级公立医院的最高政府指导价在此基础上分别下浮</w:t>
      </w:r>
      <w:r>
        <w:rPr>
          <w:rFonts w:hint="default" w:ascii="Times New Roman" w:hAnsi="Times New Roman" w:eastAsia="方正仿宋_GBK" w:cs="Times New Roman"/>
          <w:kern w:val="2"/>
          <w:sz w:val="32"/>
          <w:szCs w:val="32"/>
          <w:u w:val="none"/>
          <w:shd w:val="clear"/>
          <w:lang w:val="en-US" w:eastAsia="zh-CN" w:bidi="ar-SA"/>
        </w:rPr>
        <w:t>10%</w:t>
      </w:r>
      <w:r>
        <w:rPr>
          <w:rFonts w:hint="default" w:ascii="Times New Roman" w:hAnsi="Times New Roman" w:eastAsia="方正仿宋_GBK" w:cs="Times New Roman"/>
          <w:kern w:val="2"/>
          <w:sz w:val="32"/>
          <w:szCs w:val="32"/>
          <w:u w:val="none"/>
          <w:shd w:val="clear" w:color="auto" w:fill="auto"/>
          <w:lang w:val="en-US" w:eastAsia="zh-CN" w:bidi="ar-SA"/>
        </w:rPr>
        <w:t>和</w:t>
      </w:r>
      <w:r>
        <w:rPr>
          <w:rFonts w:hint="default" w:ascii="Times New Roman" w:hAnsi="Times New Roman" w:eastAsia="方正仿宋_GBK" w:cs="Times New Roman"/>
          <w:kern w:val="2"/>
          <w:sz w:val="32"/>
          <w:szCs w:val="32"/>
          <w:u w:val="none"/>
          <w:shd w:val="clear"/>
          <w:lang w:val="en-US" w:eastAsia="zh-CN" w:bidi="ar-SA"/>
        </w:rPr>
        <w:t>15%</w:t>
      </w:r>
      <w:r>
        <w:rPr>
          <w:rFonts w:hint="default" w:ascii="Times New Roman" w:hAnsi="Times New Roman" w:eastAsia="方正仿宋_GBK" w:cs="Times New Roman"/>
          <w:kern w:val="2"/>
          <w:sz w:val="32"/>
          <w:szCs w:val="32"/>
          <w:u w:val="none"/>
          <w:shd w:val="clear" w:color="auto" w:fill="auto"/>
          <w:lang w:val="en-US" w:eastAsia="zh-CN" w:bidi="ar-SA"/>
        </w:rPr>
        <w:t>。</w:t>
      </w:r>
    </w:p>
    <w:p>
      <w:pPr>
        <w:pStyle w:val="20"/>
        <w:keepNext w:val="0"/>
        <w:keepLines w:val="0"/>
        <w:pageBreakBefore w:val="0"/>
        <w:widowControl w:val="0"/>
        <w:shd w:val="clear" w:color="auto" w:fill="auto"/>
        <w:tabs>
          <w:tab w:val="left" w:pos="1273"/>
        </w:tabs>
        <w:kinsoku/>
        <w:wordWrap/>
        <w:overflowPunct/>
        <w:topLinePunct w:val="0"/>
        <w:autoSpaceDE/>
        <w:autoSpaceDN/>
        <w:bidi w:val="0"/>
        <w:adjustRightInd/>
        <w:snapToGrid/>
        <w:spacing w:before="0" w:after="0" w:line="590" w:lineRule="exact"/>
        <w:ind w:left="0" w:right="0" w:firstLine="660"/>
        <w:jc w:val="left"/>
        <w:textAlignment w:val="auto"/>
        <w:rPr>
          <w:rFonts w:hint="default" w:ascii="Times New Roman" w:hAnsi="Times New Roman" w:eastAsia="方正仿宋_GBK" w:cs="Times New Roman"/>
          <w:kern w:val="2"/>
          <w:sz w:val="32"/>
          <w:szCs w:val="32"/>
          <w:u w:val="none"/>
          <w:shd w:val="clear" w:color="auto" w:fill="auto"/>
          <w:lang w:val="en-US" w:eastAsia="zh-CN" w:bidi="ar-SA"/>
        </w:rPr>
      </w:pPr>
      <w:bookmarkStart w:id="1" w:name="bookmark7"/>
      <w:r>
        <w:rPr>
          <w:rFonts w:hint="default" w:ascii="Times New Roman" w:hAnsi="Times New Roman" w:eastAsia="方正黑体_GBK" w:cs="Times New Roman"/>
          <w:kern w:val="2"/>
          <w:sz w:val="32"/>
          <w:szCs w:val="32"/>
          <w:u w:val="none"/>
          <w:shd w:val="clear" w:color="auto" w:fill="auto"/>
          <w:lang w:val="en-US" w:eastAsia="zh-CN" w:bidi="ar-SA"/>
        </w:rPr>
        <w:t>二</w:t>
      </w:r>
      <w:bookmarkEnd w:id="1"/>
      <w:r>
        <w:rPr>
          <w:rFonts w:hint="default" w:ascii="Times New Roman" w:hAnsi="Times New Roman" w:eastAsia="方正黑体_GBK" w:cs="Times New Roman"/>
          <w:kern w:val="2"/>
          <w:sz w:val="32"/>
          <w:szCs w:val="32"/>
          <w:u w:val="none"/>
          <w:shd w:val="clear" w:color="auto" w:fill="auto"/>
          <w:lang w:val="en-US" w:eastAsia="zh-CN" w:bidi="ar-SA"/>
        </w:rPr>
        <w:t>、</w:t>
      </w:r>
      <w:r>
        <w:rPr>
          <w:rFonts w:hint="default" w:ascii="Times New Roman" w:hAnsi="Times New Roman" w:eastAsia="方正仿宋_GBK" w:cs="Times New Roman"/>
          <w:kern w:val="2"/>
          <w:sz w:val="32"/>
          <w:szCs w:val="32"/>
          <w:u w:val="none"/>
          <w:shd w:val="clear" w:color="auto" w:fill="auto"/>
          <w:lang w:val="en-US" w:eastAsia="zh-CN" w:bidi="ar-SA"/>
        </w:rPr>
        <w:t>各级各类公立医疗机构应主动做好医疗服务价格公示，自觉接受患者和社会各方面的监督；执行中发现的重大问题，应及时向市医疗保障局、市卫生健康委报告。</w:t>
      </w:r>
    </w:p>
    <w:p>
      <w:pPr>
        <w:pStyle w:val="20"/>
        <w:keepNext w:val="0"/>
        <w:keepLines w:val="0"/>
        <w:pageBreakBefore w:val="0"/>
        <w:widowControl w:val="0"/>
        <w:shd w:val="clear" w:color="auto" w:fill="auto"/>
        <w:tabs>
          <w:tab w:val="left" w:pos="1278"/>
        </w:tabs>
        <w:kinsoku/>
        <w:wordWrap/>
        <w:overflowPunct/>
        <w:topLinePunct w:val="0"/>
        <w:autoSpaceDE/>
        <w:autoSpaceDN/>
        <w:bidi w:val="0"/>
        <w:adjustRightInd/>
        <w:snapToGrid/>
        <w:spacing w:before="0" w:after="820" w:line="590" w:lineRule="exact"/>
        <w:ind w:left="0" w:right="0" w:firstLine="660"/>
        <w:jc w:val="left"/>
        <w:textAlignment w:val="auto"/>
        <w:rPr>
          <w:rFonts w:hint="default" w:ascii="Times New Roman" w:hAnsi="Times New Roman" w:eastAsia="方正仿宋_GBK" w:cs="Times New Roman"/>
          <w:kern w:val="2"/>
          <w:sz w:val="32"/>
          <w:szCs w:val="32"/>
          <w:u w:val="none"/>
          <w:shd w:val="clear" w:color="auto" w:fill="auto"/>
          <w:lang w:val="en-US" w:eastAsia="zh-CN" w:bidi="ar-SA"/>
        </w:rPr>
      </w:pPr>
      <w:bookmarkStart w:id="2" w:name="bookmark8"/>
      <w:r>
        <w:rPr>
          <w:rFonts w:hint="default" w:ascii="Times New Roman" w:hAnsi="Times New Roman" w:eastAsia="方正黑体_GBK" w:cs="Times New Roman"/>
          <w:kern w:val="2"/>
          <w:sz w:val="32"/>
          <w:szCs w:val="32"/>
          <w:u w:val="none"/>
          <w:shd w:val="clear" w:color="auto" w:fill="auto"/>
          <w:lang w:val="en-US" w:eastAsia="zh-CN" w:bidi="ar-SA"/>
        </w:rPr>
        <w:t>三</w:t>
      </w:r>
      <w:bookmarkEnd w:id="2"/>
      <w:r>
        <w:rPr>
          <w:rFonts w:hint="default" w:ascii="Times New Roman" w:hAnsi="Times New Roman" w:eastAsia="方正黑体_GBK" w:cs="Times New Roman"/>
          <w:kern w:val="2"/>
          <w:sz w:val="32"/>
          <w:szCs w:val="32"/>
          <w:u w:val="none"/>
          <w:shd w:val="clear" w:color="auto" w:fill="auto"/>
          <w:lang w:val="en-US" w:eastAsia="zh-CN" w:bidi="ar-SA"/>
        </w:rPr>
        <w:t>、</w:t>
      </w:r>
      <w:r>
        <w:rPr>
          <w:rFonts w:hint="default" w:ascii="Times New Roman" w:hAnsi="Times New Roman" w:eastAsia="方正仿宋_GBK" w:cs="Times New Roman"/>
          <w:kern w:val="2"/>
          <w:sz w:val="32"/>
          <w:szCs w:val="32"/>
          <w:u w:val="none"/>
          <w:shd w:val="clear" w:color="auto" w:fill="auto"/>
          <w:lang w:val="en-US" w:eastAsia="zh-CN" w:bidi="ar-SA"/>
        </w:rPr>
        <w:t>本通知自印发之日起执行。</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jc w:val="both"/>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附件：部分医疗服务项目政府指导价及医保支付类型</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jc w:val="both"/>
        <w:textAlignment w:val="auto"/>
        <w:rPr>
          <w:rFonts w:hint="default" w:ascii="Times New Roman" w:hAnsi="Times New Roman" w:eastAsia="方正仿宋_GBK" w:cs="Times New Roman"/>
          <w:kern w:val="2"/>
          <w:sz w:val="32"/>
          <w:szCs w:val="32"/>
          <w:u w:val="none"/>
          <w:shd w:val="clear" w:color="auto" w:fill="auto"/>
          <w:lang w:val="en-US" w:eastAsia="zh-CN" w:bidi="ar-SA"/>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leftChars="0" w:right="0" w:firstLine="0" w:firstLineChars="0"/>
        <w:jc w:val="both"/>
        <w:textAlignment w:val="auto"/>
        <w:rPr>
          <w:rFonts w:hint="default" w:ascii="Times New Roman" w:hAnsi="Times New Roman" w:eastAsia="方正仿宋_GBK" w:cs="Times New Roman"/>
          <w:color w:val="000000"/>
          <w:spacing w:val="0"/>
          <w:w w:val="100"/>
          <w:position w:val="0"/>
          <w:sz w:val="32"/>
          <w:szCs w:val="32"/>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jc w:val="both"/>
        <w:textAlignment w:val="auto"/>
        <w:rPr>
          <w:rFonts w:hint="default" w:ascii="Times New Roman" w:hAnsi="Times New Roman" w:eastAsia="方正仿宋_GBK" w:cs="Times New Roman"/>
          <w:color w:val="000000"/>
          <w:spacing w:val="0"/>
          <w:w w:val="100"/>
          <w:position w:val="0"/>
          <w:sz w:val="32"/>
          <w:szCs w:val="32"/>
        </w:rPr>
      </w:pPr>
    </w:p>
    <w:p>
      <w:pPr>
        <w:keepNext w:val="0"/>
        <w:keepLines w:val="0"/>
        <w:pageBreakBefore w:val="0"/>
        <w:widowControl w:val="0"/>
        <w:kinsoku/>
        <w:wordWrap w:val="0"/>
        <w:overflowPunct/>
        <w:topLinePunct w:val="0"/>
        <w:autoSpaceDE/>
        <w:autoSpaceDN/>
        <w:bidi w:val="0"/>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w:t>
      </w:r>
      <w:r>
        <w:rPr>
          <w:rFonts w:hint="default" w:ascii="Times New Roman" w:hAnsi="Times New Roman" w:eastAsia="方正仿宋_GBK" w:cs="Times New Roman"/>
          <w:sz w:val="32"/>
          <w:szCs w:val="32"/>
          <w:lang w:eastAsia="zh-CN"/>
        </w:rPr>
        <w:t>医疗保障</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w:t>
      </w:r>
      <w:r>
        <w:rPr>
          <w:rFonts w:hint="default" w:ascii="Times New Roman" w:hAnsi="Times New Roman" w:eastAsia="方正仿宋_GBK" w:cs="Times New Roman"/>
          <w:sz w:val="32"/>
          <w:szCs w:val="32"/>
          <w:lang w:eastAsia="zh-CN"/>
        </w:rPr>
        <w:t>卫生健康委员会</w:t>
      </w:r>
      <w:r>
        <w:rPr>
          <w:rFonts w:hint="default" w:ascii="Times New Roman" w:hAnsi="Times New Roman" w:eastAsia="方正仿宋_GBK" w:cs="Times New Roman"/>
          <w:sz w:val="32"/>
          <w:szCs w:val="32"/>
          <w:lang w:val="en-US" w:eastAsia="zh-CN"/>
        </w:rPr>
        <w:t xml:space="preserve"> </w:t>
      </w:r>
      <w:bookmarkStart w:id="3" w:name="_GoBack"/>
      <w:r>
        <w:rPr>
          <w:rFonts w:hint="default" w:ascii="Times New Roman" w:hAnsi="Times New Roman" w:eastAsia="方正仿宋_GBK" w:cs="Times New Roman"/>
          <w:sz w:val="32"/>
          <w:szCs w:val="32"/>
          <w:lang w:val="en-US" w:eastAsia="zh-CN"/>
        </w:rPr>
        <w:t xml:space="preserve">   </w:t>
      </w:r>
      <w:bookmarkEnd w:id="3"/>
    </w:p>
    <w:p>
      <w:pPr>
        <w:pStyle w:val="20"/>
        <w:keepNext w:val="0"/>
        <w:keepLines w:val="0"/>
        <w:pageBreakBefore w:val="0"/>
        <w:widowControl w:val="0"/>
        <w:shd w:val="clear" w:color="auto" w:fill="auto"/>
        <w:kinsoku/>
        <w:wordWrap w:val="0"/>
        <w:overflowPunct/>
        <w:topLinePunct w:val="0"/>
        <w:autoSpaceDE/>
        <w:autoSpaceDN/>
        <w:bidi w:val="0"/>
        <w:adjustRightInd/>
        <w:snapToGrid/>
        <w:spacing w:before="0" w:after="0" w:line="590" w:lineRule="exact"/>
        <w:ind w:left="0" w:leftChars="0" w:right="0" w:firstLine="640" w:firstLineChars="200"/>
        <w:jc w:val="right"/>
        <w:textAlignment w:val="auto"/>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kern w:val="2"/>
          <w:sz w:val="32"/>
          <w:szCs w:val="32"/>
          <w:u w:val="none"/>
          <w:shd w:val="clear"/>
          <w:lang w:val="en-US" w:eastAsia="zh-CN" w:bidi="ar-SA"/>
        </w:rPr>
        <w:t>2022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kern w:val="2"/>
          <w:sz w:val="32"/>
          <w:szCs w:val="32"/>
          <w:u w:val="none"/>
          <w:shd w:val="clear"/>
          <w:lang w:val="en-US" w:eastAsia="zh-CN" w:bidi="ar-SA"/>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kern w:val="2"/>
          <w:sz w:val="32"/>
          <w:szCs w:val="32"/>
          <w:u w:val="none"/>
          <w:shd w:val="clear"/>
          <w:lang w:val="en-US" w:eastAsia="zh-CN" w:bidi="ar-SA"/>
        </w:rPr>
        <w:t>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A7E7160"/>
    <w:rsid w:val="0B0912D7"/>
    <w:rsid w:val="0EE3051E"/>
    <w:rsid w:val="0FAD3BC0"/>
    <w:rsid w:val="104A7615"/>
    <w:rsid w:val="1277193D"/>
    <w:rsid w:val="142A6579"/>
    <w:rsid w:val="152D2DCA"/>
    <w:rsid w:val="153913E2"/>
    <w:rsid w:val="17DB6A12"/>
    <w:rsid w:val="1DD97D69"/>
    <w:rsid w:val="1DEC284C"/>
    <w:rsid w:val="1E6523AC"/>
    <w:rsid w:val="1FDF3575"/>
    <w:rsid w:val="1FFA7124"/>
    <w:rsid w:val="22440422"/>
    <w:rsid w:val="27F7674B"/>
    <w:rsid w:val="2A5C1C3C"/>
    <w:rsid w:val="2E9C2BDF"/>
    <w:rsid w:val="31A15F24"/>
    <w:rsid w:val="31B72082"/>
    <w:rsid w:val="37FFBCC4"/>
    <w:rsid w:val="395347B5"/>
    <w:rsid w:val="398E534A"/>
    <w:rsid w:val="39A232A0"/>
    <w:rsid w:val="39E745AA"/>
    <w:rsid w:val="3B5A6BBB"/>
    <w:rsid w:val="3CFECA87"/>
    <w:rsid w:val="3EBAFB88"/>
    <w:rsid w:val="3EDA13A6"/>
    <w:rsid w:val="3FB759D6"/>
    <w:rsid w:val="3FC82FE6"/>
    <w:rsid w:val="3FF21DD0"/>
    <w:rsid w:val="3FFBE736"/>
    <w:rsid w:val="42F058B7"/>
    <w:rsid w:val="436109F6"/>
    <w:rsid w:val="441A38D4"/>
    <w:rsid w:val="447A10D3"/>
    <w:rsid w:val="494553A6"/>
    <w:rsid w:val="4A5162EE"/>
    <w:rsid w:val="4B0A0B56"/>
    <w:rsid w:val="4BC77339"/>
    <w:rsid w:val="4C5F98EB"/>
    <w:rsid w:val="4C9236C5"/>
    <w:rsid w:val="4D7472EC"/>
    <w:rsid w:val="4DE7A040"/>
    <w:rsid w:val="4ED908C9"/>
    <w:rsid w:val="4F6FC1AF"/>
    <w:rsid w:val="4FBF617D"/>
    <w:rsid w:val="4FEDD155"/>
    <w:rsid w:val="505C172E"/>
    <w:rsid w:val="52C74409"/>
    <w:rsid w:val="52F46F0B"/>
    <w:rsid w:val="53D8014D"/>
    <w:rsid w:val="53FF92B0"/>
    <w:rsid w:val="5550603F"/>
    <w:rsid w:val="55A56411"/>
    <w:rsid w:val="55E064E0"/>
    <w:rsid w:val="5660369E"/>
    <w:rsid w:val="572C6D10"/>
    <w:rsid w:val="58DDA33E"/>
    <w:rsid w:val="5DC34279"/>
    <w:rsid w:val="5E5B33B7"/>
    <w:rsid w:val="5EFFB805"/>
    <w:rsid w:val="5F7A8D69"/>
    <w:rsid w:val="5FE6FED2"/>
    <w:rsid w:val="5FF569A5"/>
    <w:rsid w:val="608816D1"/>
    <w:rsid w:val="60EF4E7F"/>
    <w:rsid w:val="632B726B"/>
    <w:rsid w:val="665233C1"/>
    <w:rsid w:val="67750F81"/>
    <w:rsid w:val="6AD45862"/>
    <w:rsid w:val="6AD9688B"/>
    <w:rsid w:val="6AEE1AB5"/>
    <w:rsid w:val="6C681542"/>
    <w:rsid w:val="6D0E3F22"/>
    <w:rsid w:val="6DDFF3B9"/>
    <w:rsid w:val="6E3FB6BE"/>
    <w:rsid w:val="6F2B6B62"/>
    <w:rsid w:val="6F8477EE"/>
    <w:rsid w:val="6FBC5506"/>
    <w:rsid w:val="70D53502"/>
    <w:rsid w:val="737C3597"/>
    <w:rsid w:val="73826795"/>
    <w:rsid w:val="73FA9135"/>
    <w:rsid w:val="74F1485B"/>
    <w:rsid w:val="77AF316A"/>
    <w:rsid w:val="77B72903"/>
    <w:rsid w:val="79BCD49B"/>
    <w:rsid w:val="79DFDB7C"/>
    <w:rsid w:val="7BDF81F5"/>
    <w:rsid w:val="7C844D47"/>
    <w:rsid w:val="7C9011D9"/>
    <w:rsid w:val="7DC651C5"/>
    <w:rsid w:val="7DFF8355"/>
    <w:rsid w:val="7F7FAE43"/>
    <w:rsid w:val="7FBB455C"/>
    <w:rsid w:val="7FBE4422"/>
    <w:rsid w:val="7FBF16B4"/>
    <w:rsid w:val="7FCC2834"/>
    <w:rsid w:val="7FF5BCD2"/>
    <w:rsid w:val="7FFDA612"/>
    <w:rsid w:val="8FFF358E"/>
    <w:rsid w:val="99FD57C9"/>
    <w:rsid w:val="9DFB649E"/>
    <w:rsid w:val="9EDB814E"/>
    <w:rsid w:val="9EFF2D37"/>
    <w:rsid w:val="9F779FAB"/>
    <w:rsid w:val="9FFF95EA"/>
    <w:rsid w:val="ABFFCD64"/>
    <w:rsid w:val="AF5FD5B5"/>
    <w:rsid w:val="B4BE79E8"/>
    <w:rsid w:val="B77FB37A"/>
    <w:rsid w:val="B7E92D71"/>
    <w:rsid w:val="BB2DC03D"/>
    <w:rsid w:val="BFDF063E"/>
    <w:rsid w:val="D37CA48F"/>
    <w:rsid w:val="D7AD7795"/>
    <w:rsid w:val="D7B52507"/>
    <w:rsid w:val="D7DB6EE1"/>
    <w:rsid w:val="D7EFB2D1"/>
    <w:rsid w:val="DBBF6EEA"/>
    <w:rsid w:val="DBFD8C90"/>
    <w:rsid w:val="DF6FCDCA"/>
    <w:rsid w:val="DFDFB05F"/>
    <w:rsid w:val="E7DF4867"/>
    <w:rsid w:val="EA7E8AA2"/>
    <w:rsid w:val="EDF62A1F"/>
    <w:rsid w:val="EEDFFBD9"/>
    <w:rsid w:val="EFFF3071"/>
    <w:rsid w:val="F6F72FFA"/>
    <w:rsid w:val="F74858B6"/>
    <w:rsid w:val="F74D4B97"/>
    <w:rsid w:val="F7D9485A"/>
    <w:rsid w:val="FA7EAF68"/>
    <w:rsid w:val="FAB3A98B"/>
    <w:rsid w:val="FE7D1FC5"/>
    <w:rsid w:val="FEFF58E7"/>
    <w:rsid w:val="FF3A50B5"/>
    <w:rsid w:val="FF67A4AC"/>
    <w:rsid w:val="FFAFF447"/>
    <w:rsid w:val="FFB7ACEB"/>
    <w:rsid w:val="FFCA32B3"/>
    <w:rsid w:val="FFD716F3"/>
    <w:rsid w:val="FFF560DC"/>
    <w:rsid w:val="FFFF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qFormat/>
    <w:uiPriority w:val="0"/>
    <w:pPr>
      <w:keepNext/>
      <w:keepLines/>
      <w:spacing w:before="260" w:after="260" w:line="413" w:lineRule="auto"/>
      <w:outlineLvl w:val="1"/>
    </w:pPr>
    <w:rPr>
      <w:rFonts w:ascii="Arial" w:hAnsi="Arial" w:eastAsia="黑体" w:cs="Times New Roman"/>
      <w:sz w:val="32"/>
    </w:rPr>
  </w:style>
  <w:style w:type="paragraph" w:styleId="3">
    <w:name w:val="heading 3"/>
    <w:basedOn w:val="1"/>
    <w:next w:val="1"/>
    <w:qFormat/>
    <w:uiPriority w:val="0"/>
    <w:pPr>
      <w:widowControl/>
      <w:jc w:val="left"/>
      <w:outlineLvl w:val="2"/>
    </w:pPr>
    <w:rPr>
      <w:rFonts w:ascii="宋体" w:hAnsi="宋体" w:eastAsia="宋体" w:cs="Times New Roman"/>
      <w:b/>
      <w:sz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annotation text"/>
    <w:basedOn w:val="1"/>
    <w:qFormat/>
    <w:uiPriority w:val="0"/>
    <w:pPr>
      <w:jc w:val="left"/>
    </w:pPr>
  </w:style>
  <w:style w:type="paragraph" w:styleId="6">
    <w:name w:val="Plain Text"/>
    <w:basedOn w:val="1"/>
    <w:link w:val="16"/>
    <w:qFormat/>
    <w:uiPriority w:val="0"/>
    <w:rPr>
      <w:rFonts w:ascii="宋体" w:hAnsi="Courier New" w:eastAsia="仿宋_GB2312" w:cs="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unhideWhenUsed/>
    <w:qFormat/>
    <w:uiPriority w:val="99"/>
    <w:pPr>
      <w:spacing w:after="120" w:line="480" w:lineRule="auto"/>
    </w:pPr>
    <w:rPr>
      <w:rFonts w:ascii="Calibri" w:hAnsi="Calibri" w:eastAsia="宋体" w:cs="Times New Roman"/>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纯文本 字符"/>
    <w:basedOn w:val="13"/>
    <w:link w:val="6"/>
    <w:qFormat/>
    <w:uiPriority w:val="0"/>
    <w:rPr>
      <w:rFonts w:ascii="宋体" w:hAnsi="Courier New" w:eastAsia="仿宋_GB2312" w:cs="Courier New"/>
      <w:kern w:val="2"/>
      <w:sz w:val="32"/>
      <w:szCs w:val="21"/>
    </w:rPr>
  </w:style>
  <w:style w:type="paragraph" w:customStyle="1" w:styleId="17">
    <w:name w:val="_Style 9"/>
    <w:basedOn w:val="1"/>
    <w:next w:val="18"/>
    <w:qFormat/>
    <w:uiPriority w:val="99"/>
    <w:pPr>
      <w:ind w:firstLine="420" w:firstLineChars="200"/>
    </w:pPr>
    <w:rPr>
      <w:rFonts w:ascii="Times New Roman" w:hAnsi="Times New Roman" w:eastAsia="宋体" w:cs="Times New Roman"/>
      <w:szCs w:val="21"/>
    </w:rPr>
  </w:style>
  <w:style w:type="paragraph" w:styleId="18">
    <w:name w:val="List Paragraph"/>
    <w:basedOn w:val="1"/>
    <w:qFormat/>
    <w:uiPriority w:val="99"/>
    <w:pPr>
      <w:ind w:firstLine="420" w:firstLineChars="200"/>
    </w:pPr>
  </w:style>
  <w:style w:type="paragraph" w:customStyle="1" w:styleId="19">
    <w:name w:val="Other|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20">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Heading #3|1"/>
    <w:basedOn w:val="1"/>
    <w:qFormat/>
    <w:uiPriority w:val="0"/>
    <w:pPr>
      <w:widowControl w:val="0"/>
      <w:shd w:val="clear" w:color="auto" w:fill="auto"/>
      <w:spacing w:after="1620" w:line="1018" w:lineRule="exact"/>
      <w:jc w:val="center"/>
      <w:outlineLvl w:val="2"/>
    </w:pPr>
    <w:rPr>
      <w:rFonts w:ascii="宋体" w:hAnsi="宋体" w:eastAsia="宋体" w:cs="宋体"/>
      <w:sz w:val="50"/>
      <w:szCs w:val="50"/>
      <w:u w:val="none"/>
      <w:shd w:val="clear" w:color="auto" w:fill="auto"/>
      <w:lang w:val="zh-TW" w:eastAsia="zh-TW" w:bidi="zh-TW"/>
    </w:rPr>
  </w:style>
  <w:style w:type="paragraph" w:customStyle="1" w:styleId="22">
    <w:name w:val="Heading #2|1"/>
    <w:basedOn w:val="1"/>
    <w:qFormat/>
    <w:uiPriority w:val="0"/>
    <w:pPr>
      <w:widowControl w:val="0"/>
      <w:shd w:val="clear" w:color="auto" w:fill="auto"/>
      <w:spacing w:after="560" w:line="672" w:lineRule="exact"/>
      <w:jc w:val="center"/>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588</Words>
  <Characters>623</Characters>
  <Lines>30</Lines>
  <Paragraphs>8</Paragraphs>
  <TotalTime>0</TotalTime>
  <ScaleCrop>false</ScaleCrop>
  <LinksUpToDate>false</LinksUpToDate>
  <CharactersWithSpaces>635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2021-12-07T07:33:00Z</dcterms:created>
  <dc:creator>t</dc:creator>
  <cp:lastModifiedBy>thtf</cp:lastModifiedBy>
  <cp:lastPrinted>2021-10-29T03:30:00Z</cp:lastPrinted>
  <dcterms:modified xsi:type="dcterms:W3CDTF">2022-12-06T10:26:34Z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