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90" w:lineRule="exact"/>
        <w:ind w:firstLine="420" w:firstLineChars="200"/>
        <w:textAlignment w:val="auto"/>
        <w:outlineLvl w:val="9"/>
        <w:rPr>
          <w:rFonts w:hint="default" w:ascii="Times New Roman" w:hAnsi="Times New Roman" w:cs="Times New Roman"/>
          <w:color w:val="000000"/>
        </w:rPr>
      </w:pPr>
    </w:p>
    <w:p>
      <w:pPr>
        <w:keepNext w:val="0"/>
        <w:keepLines w:val="0"/>
        <w:pageBreakBefore w:val="0"/>
        <w:widowControl w:val="0"/>
        <w:kinsoku/>
        <w:wordWrap/>
        <w:overflowPunct/>
        <w:topLinePunct w:val="0"/>
        <w:autoSpaceDE/>
        <w:autoSpaceDN/>
        <w:bidi w:val="0"/>
        <w:adjustRightInd w:val="0"/>
        <w:snapToGrid w:val="0"/>
        <w:spacing w:line="590" w:lineRule="exact"/>
        <w:ind w:firstLine="640" w:firstLineChars="200"/>
        <w:textAlignment w:val="auto"/>
        <w:outlineLvl w:val="9"/>
        <w:rPr>
          <w:rFonts w:hint="default" w:ascii="Times New Roman" w:hAnsi="Times New Roman" w:eastAsia="楷体_GB2312" w:cs="Times New Roman"/>
          <w:color w:val="000000"/>
          <w:sz w:val="32"/>
          <w:szCs w:val="32"/>
        </w:rPr>
      </w:pP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kern w:val="0"/>
          <w:sz w:val="44"/>
          <w:szCs w:val="44"/>
          <w:lang w:val="en-US" w:eastAsia="zh-CN"/>
        </w:rPr>
      </w:pPr>
      <w:r>
        <w:rPr>
          <w:rFonts w:hint="eastAsia" w:ascii="方正小标宋简体" w:hAnsi="方正小标宋简体" w:eastAsia="方正小标宋简体" w:cs="方正小标宋简体"/>
          <w:color w:val="auto"/>
          <w:kern w:val="0"/>
          <w:sz w:val="44"/>
          <w:szCs w:val="44"/>
          <w:lang w:val="en-US" w:eastAsia="zh-CN"/>
        </w:rPr>
        <w:t>关于印发《芜湖市基本医疗保险门诊慢特病</w:t>
      </w:r>
    </w:p>
    <w:p>
      <w:pPr>
        <w:keepNext w:val="0"/>
        <w:keepLines w:val="0"/>
        <w:pageBreakBefore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color w:val="auto"/>
          <w:kern w:val="0"/>
          <w:sz w:val="44"/>
          <w:szCs w:val="44"/>
          <w:lang w:val="en-US" w:eastAsia="zh-CN"/>
        </w:rPr>
      </w:pPr>
      <w:r>
        <w:rPr>
          <w:rFonts w:hint="eastAsia" w:ascii="方正小标宋简体" w:hAnsi="方正小标宋简体" w:eastAsia="方正小标宋简体" w:cs="方正小标宋简体"/>
          <w:color w:val="auto"/>
          <w:kern w:val="0"/>
          <w:sz w:val="44"/>
          <w:szCs w:val="44"/>
          <w:lang w:val="en-US" w:eastAsia="zh-CN"/>
        </w:rPr>
        <w:t>管理实施细则》的通知</w:t>
      </w:r>
    </w:p>
    <w:p>
      <w:pPr>
        <w:pStyle w:val="2"/>
        <w:jc w:val="center"/>
        <w:rPr>
          <w:rFonts w:hint="eastAsia" w:ascii="方正仿宋_GBK" w:hAnsi="方正仿宋_GBK" w:eastAsia="方正仿宋_GBK" w:cs="方正仿宋_GBK"/>
          <w:b w:val="0"/>
          <w:bCs/>
          <w:lang w:val="en-US" w:eastAsia="zh-CN"/>
        </w:rPr>
      </w:pPr>
      <w:r>
        <w:rPr>
          <w:rFonts w:hint="eastAsia" w:ascii="方正仿宋_GBK" w:hAnsi="方正仿宋_GBK" w:eastAsia="方正仿宋_GBK" w:cs="方正仿宋_GBK"/>
          <w:b w:val="0"/>
          <w:bCs/>
          <w:lang w:val="en-US" w:eastAsia="zh-CN"/>
        </w:rPr>
        <w:t>芜医保〔</w:t>
      </w:r>
      <w:r>
        <w:rPr>
          <w:rFonts w:hint="default" w:ascii="Times New Roman" w:hAnsi="Times New Roman" w:eastAsia="方正仿宋_GBK" w:cs="Times New Roman"/>
          <w:b w:val="0"/>
          <w:bCs/>
          <w:lang w:val="en-US" w:eastAsia="zh-CN"/>
        </w:rPr>
        <w:t>2022</w:t>
      </w:r>
      <w:r>
        <w:rPr>
          <w:rFonts w:hint="eastAsia" w:ascii="方正仿宋_GBK" w:hAnsi="方正仿宋_GBK" w:eastAsia="方正仿宋_GBK" w:cs="方正仿宋_GBK"/>
          <w:b w:val="0"/>
          <w:bCs/>
          <w:lang w:val="en-US" w:eastAsia="zh-CN"/>
        </w:rPr>
        <w:t>〕</w:t>
      </w:r>
      <w:r>
        <w:rPr>
          <w:rFonts w:hint="eastAsia" w:ascii="Times New Roman" w:hAnsi="Times New Roman" w:eastAsia="方正仿宋_GBK" w:cs="Times New Roman"/>
          <w:b w:val="0"/>
          <w:bCs/>
          <w:lang w:val="en-US" w:eastAsia="zh-CN"/>
        </w:rPr>
        <w:t>28</w:t>
      </w:r>
      <w:r>
        <w:rPr>
          <w:rFonts w:hint="eastAsia" w:ascii="方正仿宋_GBK" w:hAnsi="方正仿宋_GBK" w:eastAsia="方正仿宋_GBK" w:cs="方正仿宋_GBK"/>
          <w:b w:val="0"/>
          <w:bCs/>
          <w:lang w:val="en-US" w:eastAsia="zh-CN"/>
        </w:rPr>
        <w:t>号</w:t>
      </w: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方正仿宋_GBK" w:hAnsi="方正仿宋_GBK" w:eastAsia="方正仿宋_GBK" w:cs="方正仿宋_GBK"/>
          <w:color w:val="auto"/>
          <w:kern w:val="0"/>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color w:val="auto"/>
          <w:kern w:val="0"/>
          <w:sz w:val="32"/>
          <w:szCs w:val="32"/>
          <w:lang w:val="en-US" w:eastAsia="zh-CN"/>
        </w:rPr>
        <w:t>各县市区医保局、经开区人社局、三山经开区医疗卫生局，市医保中心：</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color w:val="auto"/>
          <w:kern w:val="0"/>
          <w:sz w:val="32"/>
          <w:szCs w:val="32"/>
          <w:lang w:val="en-US" w:eastAsia="zh-CN"/>
        </w:rPr>
        <w:t>现将《芜湖市基本医疗保险门诊慢特病管理实施细则》印发给你们，请结合实际认真贯彻落实。</w:t>
      </w:r>
    </w:p>
    <w:p>
      <w:pPr>
        <w:keepNext w:val="0"/>
        <w:keepLines w:val="0"/>
        <w:pageBreakBefore w:val="0"/>
        <w:kinsoku/>
        <w:wordWrap/>
        <w:overflowPunct/>
        <w:topLinePunct w:val="0"/>
        <w:autoSpaceDE/>
        <w:autoSpaceDN/>
        <w:bidi w:val="0"/>
        <w:adjustRightInd/>
        <w:snapToGrid/>
        <w:spacing w:line="560" w:lineRule="exact"/>
        <w:jc w:val="both"/>
        <w:textAlignment w:val="auto"/>
        <w:rPr>
          <w:rFonts w:hint="eastAsia" w:ascii="方正仿宋_GBK" w:hAnsi="方正仿宋_GBK" w:eastAsia="方正仿宋_GBK" w:cs="方正仿宋_GBK"/>
          <w:color w:val="auto"/>
          <w:kern w:val="0"/>
          <w:sz w:val="32"/>
          <w:szCs w:val="32"/>
          <w:lang w:val="en-US" w:eastAsia="zh-CN"/>
        </w:rPr>
      </w:pPr>
    </w:p>
    <w:p>
      <w:pPr>
        <w:pStyle w:val="2"/>
        <w:rPr>
          <w:rFonts w:hint="eastAsia"/>
          <w:lang w:val="en-US" w:eastAsia="zh-CN"/>
        </w:rPr>
      </w:pPr>
    </w:p>
    <w:p>
      <w:pPr>
        <w:keepNext w:val="0"/>
        <w:keepLines w:val="0"/>
        <w:pageBreakBefore w:val="0"/>
        <w:kinsoku/>
        <w:wordWrap w:val="0"/>
        <w:overflowPunct/>
        <w:topLinePunct w:val="0"/>
        <w:autoSpaceDE/>
        <w:autoSpaceDN/>
        <w:bidi w:val="0"/>
        <w:adjustRightInd/>
        <w:snapToGrid/>
        <w:spacing w:line="560" w:lineRule="exact"/>
        <w:jc w:val="right"/>
        <w:textAlignment w:val="auto"/>
        <w:rPr>
          <w:rFonts w:hint="default"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color w:val="auto"/>
          <w:kern w:val="0"/>
          <w:sz w:val="32"/>
          <w:szCs w:val="32"/>
          <w:lang w:val="en-US" w:eastAsia="zh-CN"/>
        </w:rPr>
        <w:t xml:space="preserve">芜湖市医疗保障局    </w:t>
      </w:r>
    </w:p>
    <w:p>
      <w:pPr>
        <w:keepNext w:val="0"/>
        <w:keepLines w:val="0"/>
        <w:pageBreakBefore w:val="0"/>
        <w:kinsoku/>
        <w:wordWrap w:val="0"/>
        <w:overflowPunct/>
        <w:topLinePunct w:val="0"/>
        <w:autoSpaceDE/>
        <w:autoSpaceDN/>
        <w:bidi w:val="0"/>
        <w:adjustRightInd/>
        <w:snapToGrid/>
        <w:spacing w:line="560" w:lineRule="exact"/>
        <w:jc w:val="right"/>
        <w:textAlignment w:val="auto"/>
        <w:rPr>
          <w:rFonts w:hint="default" w:ascii="方正仿宋_GBK" w:hAnsi="方正仿宋_GBK" w:eastAsia="方正仿宋_GBK" w:cs="方正仿宋_GBK"/>
          <w:color w:val="auto"/>
          <w:kern w:val="0"/>
          <w:sz w:val="32"/>
          <w:szCs w:val="32"/>
          <w:lang w:val="en-US" w:eastAsia="zh-CN"/>
        </w:rPr>
      </w:pPr>
      <w:r>
        <w:rPr>
          <w:rFonts w:hint="eastAsia" w:ascii="Times New Roman" w:hAnsi="Times New Roman" w:eastAsia="方正仿宋_GBK" w:cs="Times New Roman"/>
          <w:b w:val="0"/>
          <w:bCs/>
          <w:kern w:val="2"/>
          <w:sz w:val="32"/>
          <w:szCs w:val="24"/>
          <w:lang w:val="en-US" w:eastAsia="zh-CN" w:bidi="ar-SA"/>
        </w:rPr>
        <w:t>2022</w:t>
      </w:r>
      <w:r>
        <w:rPr>
          <w:rFonts w:hint="eastAsia" w:ascii="方正仿宋_GBK" w:hAnsi="方正仿宋_GBK" w:eastAsia="方正仿宋_GBK" w:cs="方正仿宋_GBK"/>
          <w:color w:val="auto"/>
          <w:kern w:val="0"/>
          <w:sz w:val="32"/>
          <w:szCs w:val="32"/>
          <w:lang w:val="en-US" w:eastAsia="zh-CN"/>
        </w:rPr>
        <w:t>年</w:t>
      </w:r>
      <w:r>
        <w:rPr>
          <w:rFonts w:hint="eastAsia" w:ascii="Times New Roman" w:hAnsi="Times New Roman" w:eastAsia="方正仿宋_GBK" w:cs="Times New Roman"/>
          <w:b w:val="0"/>
          <w:bCs/>
          <w:kern w:val="2"/>
          <w:sz w:val="32"/>
          <w:szCs w:val="24"/>
          <w:lang w:val="en-US" w:eastAsia="zh-CN" w:bidi="ar-SA"/>
        </w:rPr>
        <w:t>4</w:t>
      </w:r>
      <w:r>
        <w:rPr>
          <w:rFonts w:hint="eastAsia" w:ascii="方正仿宋_GBK" w:hAnsi="方正仿宋_GBK" w:eastAsia="方正仿宋_GBK" w:cs="方正仿宋_GBK"/>
          <w:color w:val="auto"/>
          <w:kern w:val="0"/>
          <w:sz w:val="32"/>
          <w:szCs w:val="32"/>
          <w:lang w:val="en-US" w:eastAsia="zh-CN"/>
        </w:rPr>
        <w:t>月</w:t>
      </w:r>
      <w:r>
        <w:rPr>
          <w:rFonts w:hint="eastAsia" w:ascii="Times New Roman" w:hAnsi="Times New Roman" w:eastAsia="方正仿宋_GBK" w:cs="Times New Roman"/>
          <w:b w:val="0"/>
          <w:bCs/>
          <w:kern w:val="2"/>
          <w:sz w:val="32"/>
          <w:szCs w:val="24"/>
          <w:lang w:val="en-US" w:eastAsia="zh-CN" w:bidi="ar-SA"/>
        </w:rPr>
        <w:t>15</w:t>
      </w:r>
      <w:r>
        <w:rPr>
          <w:rFonts w:hint="eastAsia" w:ascii="方正仿宋_GBK" w:hAnsi="方正仿宋_GBK" w:eastAsia="方正仿宋_GBK" w:cs="方正仿宋_GBK"/>
          <w:color w:val="auto"/>
          <w:kern w:val="0"/>
          <w:sz w:val="32"/>
          <w:szCs w:val="32"/>
          <w:lang w:val="en-US" w:eastAsia="zh-CN"/>
        </w:rPr>
        <w:t xml:space="preserve">日    </w:t>
      </w:r>
    </w:p>
    <w:p>
      <w:pPr>
        <w:pStyle w:val="2"/>
      </w:pPr>
    </w:p>
    <w:p/>
    <w:p>
      <w:pPr>
        <w:pStyle w:val="2"/>
      </w:pPr>
    </w:p>
    <w:p/>
    <w:p>
      <w:pPr>
        <w:pStyle w:val="2"/>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val="0"/>
          <w:bCs w:val="0"/>
          <w:color w:val="auto"/>
          <w:sz w:val="44"/>
          <w:szCs w:val="44"/>
          <w:lang w:eastAsia="zh-CN"/>
        </w:rPr>
      </w:pPr>
      <w:r>
        <w:rPr>
          <w:rFonts w:hint="eastAsia" w:ascii="方正小标宋_GBK" w:hAnsi="方正小标宋_GBK" w:eastAsia="方正小标宋_GBK" w:cs="方正小标宋_GBK"/>
          <w:b w:val="0"/>
          <w:bCs w:val="0"/>
          <w:color w:val="auto"/>
          <w:sz w:val="44"/>
          <w:szCs w:val="44"/>
          <w:lang w:eastAsia="zh-CN"/>
        </w:rPr>
        <w:t>芜湖市基本医疗保险门诊慢特病</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val="0"/>
          <w:bCs w:val="0"/>
          <w:color w:val="auto"/>
          <w:sz w:val="44"/>
          <w:szCs w:val="44"/>
          <w:lang w:eastAsia="zh-CN"/>
        </w:rPr>
      </w:pPr>
      <w:r>
        <w:rPr>
          <w:rFonts w:hint="eastAsia" w:ascii="方正小标宋_GBK" w:hAnsi="方正小标宋_GBK" w:eastAsia="方正小标宋_GBK" w:cs="方正小标宋_GBK"/>
          <w:b w:val="0"/>
          <w:bCs w:val="0"/>
          <w:color w:val="auto"/>
          <w:sz w:val="44"/>
          <w:szCs w:val="44"/>
          <w:lang w:eastAsia="zh-CN"/>
        </w:rPr>
        <w:t>管理实施细则</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方正小标宋_GBK" w:hAnsi="方正小标宋_GBK" w:eastAsia="方正小标宋_GBK" w:cs="方正小标宋_GBK"/>
          <w:b w:val="0"/>
          <w:bCs w:val="0"/>
          <w:color w:val="auto"/>
          <w:sz w:val="44"/>
          <w:szCs w:val="44"/>
          <w:lang w:eastAsia="zh-CN"/>
        </w:rPr>
      </w:pPr>
    </w:p>
    <w:p>
      <w:pPr>
        <w:numPr>
          <w:ilvl w:val="0"/>
          <w:numId w:val="1"/>
        </w:numPr>
        <w:ind w:left="0" w:leftChars="0" w:firstLine="0" w:firstLineChars="0"/>
        <w:jc w:val="center"/>
        <w:rPr>
          <w:rFonts w:hint="eastAsia" w:ascii="方正仿宋_GBK" w:hAnsi="方正仿宋_GBK" w:eastAsia="方正仿宋_GBK" w:cs="方正仿宋_GBK"/>
          <w:b w:val="0"/>
          <w:bCs w:val="0"/>
          <w:color w:val="auto"/>
          <w:sz w:val="32"/>
          <w:szCs w:val="32"/>
          <w:lang w:val="en-US" w:eastAsia="zh-CN"/>
        </w:rPr>
      </w:pPr>
      <w:r>
        <w:rPr>
          <w:rFonts w:hint="eastAsia" w:ascii="方正黑体_GBK" w:hAnsi="方正黑体_GBK" w:eastAsia="方正黑体_GBK" w:cs="方正黑体_GBK"/>
          <w:b w:val="0"/>
          <w:bCs w:val="0"/>
          <w:color w:val="auto"/>
          <w:sz w:val="32"/>
          <w:szCs w:val="32"/>
          <w:lang w:val="en-US" w:eastAsia="zh-CN"/>
        </w:rPr>
        <w:t xml:space="preserve"> 总  则</w:t>
      </w:r>
    </w:p>
    <w:p>
      <w:pPr>
        <w:keepNext w:val="0"/>
        <w:keepLines w:val="0"/>
        <w:pageBreakBefore w:val="0"/>
        <w:kinsoku/>
        <w:wordWrap/>
        <w:overflowPunct/>
        <w:topLinePunct w:val="0"/>
        <w:autoSpaceDE/>
        <w:autoSpaceDN/>
        <w:bidi w:val="0"/>
        <w:adjustRightInd/>
        <w:snapToGrid/>
        <w:spacing w:line="590" w:lineRule="exact"/>
        <w:jc w:val="center"/>
        <w:textAlignment w:val="auto"/>
        <w:rPr>
          <w:rFonts w:hint="eastAsia" w:ascii="黑体" w:hAnsi="黑体" w:eastAsia="黑体"/>
          <w:sz w:val="32"/>
          <w:szCs w:val="32"/>
        </w:rPr>
      </w:pPr>
    </w:p>
    <w:p>
      <w:pPr>
        <w:numPr>
          <w:ilvl w:val="0"/>
          <w:numId w:val="0"/>
        </w:numPr>
        <w:ind w:firstLine="640" w:firstLineChars="200"/>
        <w:jc w:val="both"/>
        <w:rPr>
          <w:rFonts w:hint="eastAsia" w:ascii="方正仿宋_GBK" w:hAnsi="方正仿宋_GBK" w:eastAsia="方正仿宋_GBK" w:cs="方正仿宋_GBK"/>
          <w:color w:val="auto"/>
          <w:kern w:val="0"/>
          <w:sz w:val="32"/>
          <w:szCs w:val="32"/>
          <w:lang w:val="en-US" w:eastAsia="zh-CN"/>
        </w:rPr>
      </w:pPr>
      <w:r>
        <w:rPr>
          <w:rFonts w:hint="eastAsia" w:ascii="方正黑体_GBK" w:hAnsi="方正黑体_GBK" w:eastAsia="方正黑体_GBK" w:cs="方正黑体_GBK"/>
          <w:b w:val="0"/>
          <w:bCs w:val="0"/>
          <w:color w:val="auto"/>
          <w:kern w:val="0"/>
          <w:sz w:val="32"/>
          <w:szCs w:val="32"/>
          <w:lang w:val="en-US" w:eastAsia="zh-CN"/>
        </w:rPr>
        <w:t>第一条</w:t>
      </w:r>
      <w:r>
        <w:rPr>
          <w:rFonts w:hint="eastAsia" w:ascii="方正仿宋_GBK" w:hAnsi="方正仿宋_GBK" w:eastAsia="方正仿宋_GBK" w:cs="方正仿宋_GBK"/>
          <w:color w:val="auto"/>
          <w:kern w:val="0"/>
          <w:sz w:val="32"/>
          <w:szCs w:val="32"/>
          <w:lang w:val="en-US" w:eastAsia="zh-CN"/>
        </w:rPr>
        <w:t xml:space="preserve"> 为</w:t>
      </w:r>
      <w:r>
        <w:rPr>
          <w:rFonts w:hint="eastAsia" w:ascii="方正仿宋_GBK" w:hAnsi="方正仿宋_GBK" w:eastAsia="方正仿宋_GBK" w:cs="方正仿宋_GBK"/>
          <w:bCs/>
          <w:color w:val="auto"/>
          <w:sz w:val="32"/>
          <w:szCs w:val="32"/>
          <w:lang w:val="en-US" w:eastAsia="zh-CN"/>
        </w:rPr>
        <w:t>进一步优化我市基本医疗保险门诊慢特病管理，建立规范、高</w:t>
      </w:r>
      <w:r>
        <w:rPr>
          <w:rFonts w:hint="eastAsia" w:ascii="方正仿宋_GBK" w:hAnsi="方正仿宋_GBK" w:eastAsia="方正仿宋_GBK" w:cs="方正仿宋_GBK"/>
          <w:color w:val="auto"/>
          <w:kern w:val="0"/>
          <w:sz w:val="32"/>
          <w:szCs w:val="32"/>
          <w:lang w:val="en-US" w:eastAsia="zh-CN"/>
        </w:rPr>
        <w:t>效、统一的门诊慢特病待遇保障、基金支付、监督管理运行机制，根据《安徽省基本医疗保险门诊慢性病、特殊病管理办法（试行）》（皖医保秘〔</w:t>
      </w:r>
      <w:r>
        <w:rPr>
          <w:rFonts w:hint="default" w:ascii="Times New Roman" w:hAnsi="Times New Roman" w:eastAsia="方正仿宋_GBK" w:cs="Times New Roman"/>
          <w:color w:val="auto"/>
          <w:kern w:val="0"/>
          <w:sz w:val="32"/>
          <w:szCs w:val="32"/>
          <w:lang w:val="en-US" w:eastAsia="zh-CN"/>
        </w:rPr>
        <w:t>2020</w:t>
      </w:r>
      <w:r>
        <w:rPr>
          <w:rFonts w:hint="eastAsia" w:ascii="方正仿宋_GBK" w:hAnsi="方正仿宋_GBK" w:eastAsia="方正仿宋_GBK" w:cs="方正仿宋_GBK"/>
          <w:color w:val="auto"/>
          <w:kern w:val="0"/>
          <w:sz w:val="32"/>
          <w:szCs w:val="32"/>
          <w:lang w:val="en-US" w:eastAsia="zh-CN"/>
        </w:rPr>
        <w:t>〕</w:t>
      </w:r>
      <w:r>
        <w:rPr>
          <w:rFonts w:hint="eastAsia" w:ascii="Times New Roman" w:hAnsi="Times New Roman" w:eastAsia="方正仿宋_GBK" w:cs="Times New Roman"/>
          <w:color w:val="auto"/>
          <w:kern w:val="0"/>
          <w:sz w:val="32"/>
          <w:szCs w:val="32"/>
          <w:lang w:val="en-US" w:eastAsia="zh-CN"/>
        </w:rPr>
        <w:t>132</w:t>
      </w:r>
      <w:r>
        <w:rPr>
          <w:rFonts w:hint="eastAsia" w:ascii="方正仿宋_GBK" w:hAnsi="方正仿宋_GBK" w:eastAsia="方正仿宋_GBK" w:cs="方正仿宋_GBK"/>
          <w:color w:val="auto"/>
          <w:kern w:val="0"/>
          <w:sz w:val="32"/>
          <w:szCs w:val="32"/>
          <w:lang w:val="en-US" w:eastAsia="zh-CN"/>
        </w:rPr>
        <w:t>号）《安徽省医疗保障局关于印发</w:t>
      </w:r>
      <w:r>
        <w:rPr>
          <w:rFonts w:hint="eastAsia" w:ascii="方正仿宋_GBK" w:hAnsi="方正仿宋_GBK" w:eastAsia="方正仿宋_GBK" w:cs="方正仿宋_GBK"/>
          <w:color w:val="auto"/>
          <w:kern w:val="0"/>
          <w:sz w:val="32"/>
          <w:szCs w:val="32"/>
          <w:lang w:val="en" w:eastAsia="zh-CN"/>
        </w:rPr>
        <w:t>&lt;</w:t>
      </w:r>
      <w:r>
        <w:rPr>
          <w:rFonts w:hint="eastAsia" w:ascii="方正仿宋_GBK" w:hAnsi="方正仿宋_GBK" w:eastAsia="方正仿宋_GBK" w:cs="方正仿宋_GBK"/>
          <w:color w:val="auto"/>
          <w:kern w:val="0"/>
          <w:sz w:val="32"/>
          <w:szCs w:val="32"/>
          <w:lang w:val="en-US" w:eastAsia="zh-CN"/>
        </w:rPr>
        <w:t>安徽省基本医疗保险门诊慢特病病种目录（试行）</w:t>
      </w:r>
      <w:r>
        <w:rPr>
          <w:rFonts w:hint="eastAsia" w:ascii="方正仿宋_GBK" w:hAnsi="方正仿宋_GBK" w:eastAsia="方正仿宋_GBK" w:cs="方正仿宋_GBK"/>
          <w:color w:val="auto"/>
          <w:kern w:val="0"/>
          <w:sz w:val="32"/>
          <w:szCs w:val="32"/>
          <w:lang w:val="en" w:eastAsia="zh-CN"/>
        </w:rPr>
        <w:t>&gt;</w:t>
      </w:r>
      <w:r>
        <w:rPr>
          <w:rFonts w:hint="eastAsia" w:ascii="方正仿宋_GBK" w:hAnsi="方正仿宋_GBK" w:eastAsia="方正仿宋_GBK" w:cs="方正仿宋_GBK"/>
          <w:color w:val="auto"/>
          <w:kern w:val="0"/>
          <w:sz w:val="32"/>
          <w:szCs w:val="32"/>
          <w:lang w:val="en-US" w:eastAsia="zh-CN"/>
        </w:rPr>
        <w:t>的通知》（皖医保秘〔</w:t>
      </w:r>
      <w:r>
        <w:rPr>
          <w:rFonts w:hint="eastAsia" w:ascii="Times New Roman" w:hAnsi="Times New Roman" w:eastAsia="方正仿宋_GBK" w:cs="Times New Roman"/>
          <w:color w:val="auto"/>
          <w:kern w:val="0"/>
          <w:sz w:val="32"/>
          <w:szCs w:val="32"/>
          <w:lang w:val="en-US" w:eastAsia="zh-CN"/>
        </w:rPr>
        <w:t>2021</w:t>
      </w:r>
      <w:r>
        <w:rPr>
          <w:rFonts w:hint="eastAsia" w:ascii="方正仿宋_GBK" w:hAnsi="方正仿宋_GBK" w:eastAsia="方正仿宋_GBK" w:cs="方正仿宋_GBK"/>
          <w:color w:val="auto"/>
          <w:kern w:val="0"/>
          <w:sz w:val="32"/>
          <w:szCs w:val="32"/>
          <w:lang w:val="en-US" w:eastAsia="zh-CN"/>
        </w:rPr>
        <w:t>〕</w:t>
      </w:r>
      <w:r>
        <w:rPr>
          <w:rFonts w:hint="eastAsia" w:ascii="Times New Roman" w:hAnsi="Times New Roman" w:eastAsia="方正仿宋_GBK" w:cs="Times New Roman"/>
          <w:color w:val="auto"/>
          <w:kern w:val="0"/>
          <w:sz w:val="32"/>
          <w:szCs w:val="32"/>
          <w:lang w:val="en-US" w:eastAsia="zh-CN"/>
        </w:rPr>
        <w:t>36</w:t>
      </w:r>
      <w:r>
        <w:rPr>
          <w:rFonts w:hint="eastAsia" w:ascii="方正仿宋_GBK" w:hAnsi="方正仿宋_GBK" w:eastAsia="方正仿宋_GBK" w:cs="方正仿宋_GBK"/>
          <w:color w:val="auto"/>
          <w:kern w:val="0"/>
          <w:sz w:val="32"/>
          <w:szCs w:val="32"/>
          <w:lang w:val="en-US" w:eastAsia="zh-CN"/>
        </w:rPr>
        <w:t>号）等文件要求，结合我市实际，制定本实施细则。</w:t>
      </w:r>
    </w:p>
    <w:p>
      <w:pPr>
        <w:numPr>
          <w:ilvl w:val="0"/>
          <w:numId w:val="0"/>
        </w:numPr>
        <w:ind w:firstLine="640" w:firstLineChars="200"/>
        <w:jc w:val="both"/>
        <w:rPr>
          <w:rFonts w:hint="eastAsia" w:ascii="方正仿宋_GBK" w:hAnsi="方正仿宋_GBK" w:eastAsia="方正仿宋_GBK" w:cs="方正仿宋_GBK"/>
          <w:color w:val="auto"/>
          <w:kern w:val="0"/>
          <w:sz w:val="32"/>
          <w:szCs w:val="32"/>
          <w:lang w:val="en-US" w:eastAsia="zh-CN"/>
        </w:rPr>
      </w:pPr>
      <w:r>
        <w:rPr>
          <w:rFonts w:hint="eastAsia" w:ascii="方正黑体_GBK" w:hAnsi="方正黑体_GBK" w:eastAsia="方正黑体_GBK" w:cs="方正黑体_GBK"/>
          <w:b w:val="0"/>
          <w:bCs w:val="0"/>
          <w:color w:val="auto"/>
          <w:kern w:val="0"/>
          <w:sz w:val="32"/>
          <w:szCs w:val="32"/>
          <w:lang w:val="en-US" w:eastAsia="zh-CN"/>
        </w:rPr>
        <w:t>第二条</w:t>
      </w:r>
      <w:r>
        <w:rPr>
          <w:rFonts w:hint="eastAsia" w:ascii="方正仿宋_GBK" w:hAnsi="方正仿宋_GBK" w:eastAsia="方正仿宋_GBK" w:cs="方正仿宋_GBK"/>
          <w:b/>
          <w:bCs/>
          <w:color w:val="auto"/>
          <w:kern w:val="0"/>
          <w:sz w:val="32"/>
          <w:szCs w:val="32"/>
          <w:lang w:val="en-US" w:eastAsia="zh-CN"/>
        </w:rPr>
        <w:t xml:space="preserve"> </w:t>
      </w:r>
      <w:r>
        <w:rPr>
          <w:rFonts w:hint="eastAsia" w:ascii="方正仿宋_GBK" w:hAnsi="方正仿宋_GBK" w:eastAsia="方正仿宋_GBK" w:cs="方正仿宋_GBK"/>
          <w:color w:val="auto"/>
          <w:kern w:val="0"/>
          <w:sz w:val="32"/>
          <w:szCs w:val="32"/>
          <w:lang w:val="en-US" w:eastAsia="zh-CN"/>
        </w:rPr>
        <w:t>本细则适用于本统筹区基本医疗保险参保人员的门诊慢特病管理和待遇支付等。</w:t>
      </w:r>
    </w:p>
    <w:p>
      <w:pPr>
        <w:keepNext w:val="0"/>
        <w:keepLines w:val="0"/>
        <w:pageBreakBefore w:val="0"/>
        <w:kinsoku/>
        <w:wordWrap/>
        <w:overflowPunct/>
        <w:topLinePunct w:val="0"/>
        <w:autoSpaceDE/>
        <w:autoSpaceDN/>
        <w:bidi w:val="0"/>
        <w:adjustRightInd/>
        <w:snapToGrid/>
        <w:spacing w:line="590" w:lineRule="exact"/>
        <w:jc w:val="center"/>
        <w:textAlignment w:val="auto"/>
        <w:rPr>
          <w:rFonts w:hint="eastAsia" w:ascii="黑体" w:hAnsi="黑体" w:eastAsia="黑体"/>
          <w:sz w:val="32"/>
          <w:szCs w:val="32"/>
        </w:rPr>
      </w:pPr>
    </w:p>
    <w:p>
      <w:pPr>
        <w:numPr>
          <w:ilvl w:val="0"/>
          <w:numId w:val="1"/>
        </w:numPr>
        <w:ind w:left="0" w:leftChars="0" w:firstLine="0" w:firstLineChars="0"/>
        <w:jc w:val="center"/>
        <w:rPr>
          <w:rFonts w:hint="eastAsia" w:ascii="方正黑体_GBK" w:hAnsi="方正黑体_GBK" w:eastAsia="方正黑体_GBK" w:cs="方正黑体_GBK"/>
          <w:b w:val="0"/>
          <w:bCs w:val="0"/>
          <w:color w:val="auto"/>
          <w:sz w:val="32"/>
          <w:szCs w:val="32"/>
          <w:lang w:val="en-US" w:eastAsia="zh-CN"/>
        </w:rPr>
      </w:pPr>
      <w:r>
        <w:rPr>
          <w:rFonts w:hint="eastAsia" w:ascii="方正黑体_GBK" w:hAnsi="方正黑体_GBK" w:eastAsia="方正黑体_GBK" w:cs="方正黑体_GBK"/>
          <w:b w:val="0"/>
          <w:bCs w:val="0"/>
          <w:color w:val="auto"/>
          <w:sz w:val="32"/>
          <w:szCs w:val="32"/>
          <w:lang w:val="en-US" w:eastAsia="zh-CN"/>
        </w:rPr>
        <w:t xml:space="preserve"> 门诊慢特病病种</w:t>
      </w:r>
    </w:p>
    <w:p>
      <w:pPr>
        <w:keepNext w:val="0"/>
        <w:keepLines w:val="0"/>
        <w:pageBreakBefore w:val="0"/>
        <w:kinsoku/>
        <w:wordWrap/>
        <w:overflowPunct/>
        <w:topLinePunct w:val="0"/>
        <w:autoSpaceDE/>
        <w:autoSpaceDN/>
        <w:bidi w:val="0"/>
        <w:adjustRightInd/>
        <w:snapToGrid/>
        <w:spacing w:line="590" w:lineRule="exact"/>
        <w:jc w:val="center"/>
        <w:textAlignment w:val="auto"/>
        <w:rPr>
          <w:rFonts w:hint="eastAsia" w:ascii="黑体" w:hAnsi="黑体" w:eastAsia="黑体"/>
          <w:sz w:val="32"/>
          <w:szCs w:val="32"/>
        </w:rPr>
      </w:pPr>
    </w:p>
    <w:p>
      <w:pPr>
        <w:numPr>
          <w:ilvl w:val="0"/>
          <w:numId w:val="0"/>
        </w:numPr>
        <w:ind w:firstLine="640" w:firstLineChars="200"/>
        <w:jc w:val="both"/>
        <w:rPr>
          <w:rFonts w:hint="eastAsia" w:ascii="方正仿宋_GBK" w:hAnsi="方正仿宋_GBK" w:eastAsia="方正仿宋_GBK" w:cs="方正仿宋_GBK"/>
          <w:b w:val="0"/>
          <w:bCs w:val="0"/>
          <w:color w:val="auto"/>
          <w:sz w:val="32"/>
          <w:szCs w:val="32"/>
          <w:lang w:val="en-US" w:eastAsia="zh-CN"/>
        </w:rPr>
      </w:pPr>
      <w:r>
        <w:rPr>
          <w:rFonts w:hint="eastAsia" w:ascii="方正黑体_GBK" w:hAnsi="方正黑体_GBK" w:eastAsia="方正黑体_GBK" w:cs="方正黑体_GBK"/>
          <w:b w:val="0"/>
          <w:bCs w:val="0"/>
          <w:color w:val="auto"/>
          <w:kern w:val="0"/>
          <w:sz w:val="32"/>
          <w:szCs w:val="32"/>
          <w:lang w:val="en-US" w:eastAsia="zh-CN"/>
        </w:rPr>
        <w:t>第三条</w:t>
      </w:r>
      <w:r>
        <w:rPr>
          <w:rFonts w:hint="eastAsia" w:ascii="方正仿宋_GBK" w:hAnsi="方正仿宋_GBK" w:eastAsia="方正仿宋_GBK" w:cs="方正仿宋_GBK"/>
          <w:color w:val="auto"/>
          <w:kern w:val="0"/>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执行全省统一的门诊慢特病病种。根据病种性质、治疗费用等，结合基金收支情况及临床专家意见，门诊慢特病病种分为普通慢性病和特殊慢性病。</w:t>
      </w:r>
    </w:p>
    <w:p>
      <w:pPr>
        <w:keepNext w:val="0"/>
        <w:keepLines w:val="0"/>
        <w:pageBreakBefore w:val="0"/>
        <w:numPr>
          <w:ilvl w:val="0"/>
          <w:numId w:val="0"/>
        </w:numPr>
        <w:kinsoku/>
        <w:wordWrap/>
        <w:overflowPunct/>
        <w:topLinePunct w:val="0"/>
        <w:autoSpaceDE/>
        <w:autoSpaceDN/>
        <w:bidi w:val="0"/>
        <w:adjustRightInd/>
        <w:spacing w:line="540" w:lineRule="exact"/>
        <w:ind w:firstLine="640" w:firstLineChars="200"/>
        <w:rPr>
          <w:rFonts w:hint="eastAsia" w:ascii="方正仿宋_GBK" w:hAnsi="方正仿宋_GBK" w:eastAsia="方正仿宋_GBK" w:cs="方正仿宋_GBK"/>
          <w:b w:val="0"/>
          <w:bCs w:val="0"/>
          <w:color w:val="auto"/>
          <w:sz w:val="32"/>
          <w:szCs w:val="32"/>
          <w:lang w:val="en-US" w:eastAsia="zh-CN"/>
        </w:rPr>
      </w:pPr>
      <w:r>
        <w:rPr>
          <w:rFonts w:hint="eastAsia" w:ascii="方正楷体_GBK" w:hAnsi="方正楷体_GBK" w:eastAsia="方正楷体_GBK" w:cs="方正楷体_GBK"/>
          <w:b w:val="0"/>
          <w:bCs w:val="0"/>
          <w:color w:val="auto"/>
          <w:sz w:val="32"/>
          <w:szCs w:val="32"/>
          <w:lang w:val="en-US" w:eastAsia="zh-CN"/>
        </w:rPr>
        <w:t>（一）普通慢性病：</w:t>
      </w:r>
      <w:r>
        <w:rPr>
          <w:rFonts w:hint="eastAsia" w:ascii="方正仿宋_GBK" w:hAnsi="方正仿宋_GBK" w:eastAsia="方正仿宋_GBK" w:cs="方正仿宋_GBK"/>
          <w:b w:val="0"/>
          <w:bCs w:val="0"/>
          <w:color w:val="auto"/>
          <w:sz w:val="32"/>
          <w:szCs w:val="32"/>
          <w:lang w:val="en-US" w:eastAsia="zh-CN"/>
        </w:rPr>
        <w:t>1．高血压 2．冠心病 3．心功能不全 4．慢性阻塞性肺疾病 5.支气管哮喘 6.溃疡性结肠炎 7.晚期血吸虫病8．自身免疫性肝病9．慢性肾脏病 10．肾病综合征 11．糖尿病 12．甲状腺功能亢进症13．甲状腺功能减退症14．脑卒中 15．癫痫16．帕金森综合症17．阿尔茨海默病（老年痴呆）18．重症肌无力 19．肌萎缩侧索硬化症20．青光眼21．黄斑性眼病22．银屑病23．白癜风24．慢性乙型肝炎25．慢性丙型肝炎26．非耐药性结核病27．艾滋病28．类风湿性关节炎29．强直性脊柱炎30．白塞氏病31．系统性硬化症32．干燥综合征33．多发性肌炎 34．皮肌炎35．结节性多动脉炎36．脑瘫</w:t>
      </w:r>
    </w:p>
    <w:p>
      <w:pPr>
        <w:keepNext w:val="0"/>
        <w:keepLines w:val="0"/>
        <w:pageBreakBefore w:val="0"/>
        <w:kinsoku/>
        <w:wordWrap/>
        <w:overflowPunct/>
        <w:topLinePunct w:val="0"/>
        <w:autoSpaceDE/>
        <w:autoSpaceDN/>
        <w:bidi w:val="0"/>
        <w:adjustRightInd/>
        <w:spacing w:line="540" w:lineRule="exact"/>
        <w:ind w:firstLine="640" w:firstLineChars="200"/>
        <w:rPr>
          <w:rFonts w:hint="eastAsia" w:ascii="方正仿宋_GBK" w:hAnsi="方正仿宋_GBK" w:eastAsia="方正仿宋_GBK" w:cs="方正仿宋_GBK"/>
          <w:b w:val="0"/>
          <w:bCs w:val="0"/>
          <w:color w:val="auto"/>
          <w:sz w:val="32"/>
          <w:szCs w:val="32"/>
          <w:lang w:val="en-US" w:eastAsia="zh-CN"/>
        </w:rPr>
      </w:pPr>
      <w:r>
        <w:rPr>
          <w:rFonts w:hint="eastAsia" w:ascii="方正楷体_GBK" w:hAnsi="方正楷体_GBK" w:eastAsia="方正楷体_GBK" w:cs="方正楷体_GBK"/>
          <w:b w:val="0"/>
          <w:bCs w:val="0"/>
          <w:color w:val="auto"/>
          <w:sz w:val="32"/>
          <w:szCs w:val="32"/>
          <w:lang w:val="en-US" w:eastAsia="zh-CN"/>
        </w:rPr>
        <w:t>（二）特殊慢性病：</w:t>
      </w:r>
      <w:r>
        <w:rPr>
          <w:rFonts w:hint="eastAsia" w:ascii="方正仿宋_GBK" w:hAnsi="方正仿宋_GBK" w:eastAsia="方正仿宋_GBK" w:cs="方正仿宋_GBK"/>
          <w:b w:val="0"/>
          <w:bCs w:val="0"/>
          <w:color w:val="auto"/>
          <w:sz w:val="32"/>
          <w:szCs w:val="32"/>
          <w:lang w:val="en-US" w:eastAsia="zh-CN"/>
        </w:rPr>
        <w:t>1.肺动脉高压2．特发性肺纤维化3．克罗恩病4．肝硬化5．慢性肾衰竭（尿毒症期）6．肢端肥大症 7．肝豆状核变性8．多发性硬化9．重度特应性皮炎10．精神障碍11.耐药性结核病12．系统性红斑狼疮13．ANCA 相关血管炎14．先天性免疫蛋白缺乏症 15．生长激素缺乏症 16．普拉德-威利综合征17．尼曼匹克病18．心脏瓣膜置换术后19．血管支架植入术后20．心脏冠脉搭桥术后21．器官移植术后22．血友病23．特发性血小板减少性紫癜24．再生障碍性贫血25．骨髓增生异常综合征 26．骨髓增生性疾病27．白血病 28．恶性肿瘤</w:t>
      </w:r>
    </w:p>
    <w:p>
      <w:pPr>
        <w:keepNext w:val="0"/>
        <w:keepLines w:val="0"/>
        <w:pageBreakBefore w:val="0"/>
        <w:widowControl w:val="0"/>
        <w:kinsoku/>
        <w:wordWrap/>
        <w:overflowPunct/>
        <w:topLinePunct w:val="0"/>
        <w:autoSpaceDE/>
        <w:autoSpaceDN/>
        <w:bidi w:val="0"/>
        <w:adjustRightInd/>
        <w:snapToGrid/>
        <w:spacing w:line="590" w:lineRule="exact"/>
        <w:ind w:firstLine="640" w:firstLineChars="200"/>
        <w:jc w:val="left"/>
        <w:textAlignment w:val="auto"/>
        <w:rPr>
          <w:rFonts w:hint="eastAsia" w:ascii="黑体" w:hAnsi="黑体" w:eastAsia="黑体"/>
          <w:sz w:val="32"/>
          <w:szCs w:val="32"/>
        </w:rPr>
      </w:pPr>
      <w:r>
        <w:rPr>
          <w:rFonts w:hint="eastAsia" w:ascii="方正黑体_GBK" w:hAnsi="方正黑体_GBK" w:eastAsia="方正黑体_GBK" w:cs="方正黑体_GBK"/>
          <w:b w:val="0"/>
          <w:bCs w:val="0"/>
          <w:color w:val="auto"/>
          <w:kern w:val="0"/>
          <w:sz w:val="32"/>
          <w:szCs w:val="32"/>
          <w:lang w:val="en-US" w:eastAsia="zh-CN"/>
        </w:rPr>
        <w:t>第四条</w:t>
      </w:r>
      <w:r>
        <w:rPr>
          <w:rFonts w:hint="eastAsia" w:ascii="方正仿宋_GBK" w:hAnsi="方正仿宋_GBK" w:eastAsia="方正仿宋_GBK" w:cs="方正仿宋_GBK"/>
          <w:b w:val="0"/>
          <w:bCs w:val="0"/>
          <w:color w:val="auto"/>
          <w:sz w:val="32"/>
          <w:szCs w:val="32"/>
          <w:lang w:val="en-US" w:eastAsia="zh-CN"/>
        </w:rPr>
        <w:t xml:space="preserve"> </w:t>
      </w:r>
      <w:r>
        <w:rPr>
          <w:rFonts w:hint="eastAsia" w:ascii="Times New Roman" w:hAnsi="Times New Roman" w:eastAsia="方正仿宋_GBK" w:cs="Times New Roman"/>
          <w:color w:val="auto"/>
          <w:kern w:val="0"/>
          <w:sz w:val="32"/>
          <w:szCs w:val="32"/>
          <w:lang w:val="en-US" w:eastAsia="zh-CN"/>
        </w:rPr>
        <w:t>2021</w:t>
      </w:r>
      <w:r>
        <w:rPr>
          <w:rFonts w:hint="eastAsia" w:ascii="方正仿宋_GBK" w:hAnsi="方正仿宋_GBK" w:eastAsia="方正仿宋_GBK" w:cs="方正仿宋_GBK"/>
          <w:b w:val="0"/>
          <w:bCs w:val="0"/>
          <w:color w:val="auto"/>
          <w:sz w:val="32"/>
          <w:szCs w:val="32"/>
          <w:lang w:val="en-US" w:eastAsia="zh-CN"/>
        </w:rPr>
        <w:t>年</w:t>
      </w:r>
      <w:r>
        <w:rPr>
          <w:rFonts w:hint="eastAsia" w:ascii="Times New Roman" w:hAnsi="Times New Roman" w:eastAsia="方正仿宋_GBK" w:cs="Times New Roman"/>
          <w:color w:val="auto"/>
          <w:kern w:val="0"/>
          <w:sz w:val="32"/>
          <w:szCs w:val="32"/>
          <w:lang w:val="en-US" w:eastAsia="zh-CN"/>
        </w:rPr>
        <w:t>5</w:t>
      </w:r>
      <w:r>
        <w:rPr>
          <w:rFonts w:hint="eastAsia" w:ascii="方正仿宋_GBK" w:hAnsi="方正仿宋_GBK" w:eastAsia="方正仿宋_GBK" w:cs="方正仿宋_GBK"/>
          <w:b w:val="0"/>
          <w:bCs w:val="0"/>
          <w:color w:val="auto"/>
          <w:sz w:val="32"/>
          <w:szCs w:val="32"/>
          <w:lang w:val="en-US" w:eastAsia="zh-CN"/>
        </w:rPr>
        <w:t>月</w:t>
      </w:r>
      <w:r>
        <w:rPr>
          <w:rFonts w:hint="eastAsia" w:ascii="Times New Roman" w:hAnsi="Times New Roman" w:eastAsia="方正仿宋_GBK" w:cs="Times New Roman"/>
          <w:color w:val="auto"/>
          <w:kern w:val="0"/>
          <w:sz w:val="32"/>
          <w:szCs w:val="32"/>
          <w:lang w:val="en-US" w:eastAsia="zh-CN"/>
        </w:rPr>
        <w:t>1</w:t>
      </w:r>
      <w:r>
        <w:rPr>
          <w:rFonts w:hint="eastAsia" w:ascii="方正仿宋_GBK" w:hAnsi="方正仿宋_GBK" w:eastAsia="方正仿宋_GBK" w:cs="方正仿宋_GBK"/>
          <w:b w:val="0"/>
          <w:bCs w:val="0"/>
          <w:color w:val="auto"/>
          <w:sz w:val="32"/>
          <w:szCs w:val="32"/>
          <w:lang w:val="en-US" w:eastAsia="zh-CN"/>
        </w:rPr>
        <w:t>日起，我市原有的、不在省定门诊慢特病病种范围内的病种已取消（具体见附件1），不再认定增加新的人员；已认定门诊慢特病的人员继续按原规定享受保障待遇，待遇享受期不超过</w:t>
      </w:r>
      <w:r>
        <w:rPr>
          <w:rFonts w:hint="eastAsia" w:ascii="Times New Roman" w:hAnsi="Times New Roman" w:eastAsia="方正仿宋_GBK" w:cs="Times New Roman"/>
          <w:color w:val="auto"/>
          <w:kern w:val="0"/>
          <w:sz w:val="32"/>
          <w:szCs w:val="32"/>
          <w:lang w:val="en-US" w:eastAsia="zh-CN"/>
        </w:rPr>
        <w:t>3</w:t>
      </w:r>
      <w:r>
        <w:rPr>
          <w:rFonts w:hint="eastAsia" w:ascii="方正仿宋_GBK" w:hAnsi="方正仿宋_GBK" w:eastAsia="方正仿宋_GBK" w:cs="方正仿宋_GBK"/>
          <w:b w:val="0"/>
          <w:bCs w:val="0"/>
          <w:color w:val="auto"/>
          <w:sz w:val="32"/>
          <w:szCs w:val="32"/>
          <w:lang w:val="en-US" w:eastAsia="zh-CN"/>
        </w:rPr>
        <w:t>年，享受期结束后通过门诊慢特病动态调整及建立健全门诊共济保障机制等措施实现待遇平稳过渡。</w:t>
      </w:r>
    </w:p>
    <w:p>
      <w:pPr>
        <w:keepNext w:val="0"/>
        <w:keepLines w:val="0"/>
        <w:pageBreakBefore w:val="0"/>
        <w:kinsoku/>
        <w:wordWrap/>
        <w:overflowPunct/>
        <w:topLinePunct w:val="0"/>
        <w:autoSpaceDE/>
        <w:autoSpaceDN/>
        <w:bidi w:val="0"/>
        <w:adjustRightInd/>
        <w:spacing w:line="540" w:lineRule="exact"/>
        <w:ind w:firstLine="640"/>
        <w:jc w:val="both"/>
        <w:rPr>
          <w:rFonts w:hint="eastAsia" w:ascii="方正仿宋_GBK" w:hAnsi="方正仿宋_GBK" w:eastAsia="方正仿宋_GBK" w:cs="方正仿宋_GBK"/>
          <w:b w:val="0"/>
          <w:bCs w:val="0"/>
          <w:color w:val="auto"/>
          <w:sz w:val="32"/>
          <w:szCs w:val="32"/>
          <w:lang w:val="en-US" w:eastAsia="zh-CN"/>
        </w:rPr>
      </w:pPr>
      <w:bookmarkStart w:id="0" w:name="_GoBack"/>
      <w:bookmarkEnd w:id="0"/>
    </w:p>
    <w:p>
      <w:pPr>
        <w:keepNext w:val="0"/>
        <w:keepLines w:val="0"/>
        <w:pageBreakBefore w:val="0"/>
        <w:kinsoku/>
        <w:wordWrap/>
        <w:overflowPunct/>
        <w:topLinePunct w:val="0"/>
        <w:autoSpaceDE/>
        <w:autoSpaceDN/>
        <w:bidi w:val="0"/>
        <w:adjustRightInd/>
        <w:snapToGrid/>
        <w:spacing w:line="590" w:lineRule="exact"/>
        <w:jc w:val="center"/>
        <w:textAlignment w:val="auto"/>
        <w:rPr>
          <w:rFonts w:hint="eastAsia" w:ascii="黑体" w:hAnsi="黑体" w:eastAsia="黑体"/>
          <w:sz w:val="32"/>
          <w:szCs w:val="32"/>
        </w:rPr>
      </w:pPr>
      <w:r>
        <w:rPr>
          <w:rFonts w:hint="eastAsia" w:ascii="方正黑体_GBK" w:hAnsi="方正黑体_GBK" w:eastAsia="方正黑体_GBK" w:cs="方正黑体_GBK"/>
          <w:b w:val="0"/>
          <w:bCs w:val="0"/>
          <w:color w:val="auto"/>
          <w:sz w:val="32"/>
          <w:szCs w:val="32"/>
          <w:lang w:val="en-US" w:eastAsia="zh-CN"/>
        </w:rPr>
        <w:t>第三章 门诊慢特病准入认定</w:t>
      </w:r>
    </w:p>
    <w:p>
      <w:pPr>
        <w:numPr>
          <w:ilvl w:val="0"/>
          <w:numId w:val="0"/>
        </w:numPr>
        <w:jc w:val="center"/>
        <w:rPr>
          <w:rFonts w:hint="eastAsia" w:ascii="方正仿宋_GBK" w:hAnsi="方正仿宋_GBK" w:eastAsia="方正仿宋_GBK" w:cs="方正仿宋_GBK"/>
          <w:b/>
          <w:bCs/>
          <w:color w:val="auto"/>
          <w:kern w:val="0"/>
          <w:sz w:val="32"/>
          <w:szCs w:val="32"/>
          <w:lang w:val="en-US" w:eastAsia="zh-CN"/>
        </w:rPr>
      </w:pPr>
    </w:p>
    <w:p>
      <w:pPr>
        <w:keepNext w:val="0"/>
        <w:keepLines w:val="0"/>
        <w:pageBreakBefore w:val="0"/>
        <w:kinsoku/>
        <w:wordWrap/>
        <w:overflowPunct/>
        <w:topLinePunct w:val="0"/>
        <w:autoSpaceDE/>
        <w:autoSpaceDN/>
        <w:bidi w:val="0"/>
        <w:adjustRightInd/>
        <w:spacing w:line="540" w:lineRule="exact"/>
        <w:ind w:firstLine="640"/>
        <w:jc w:val="both"/>
        <w:rPr>
          <w:rFonts w:hint="eastAsia" w:ascii="方正仿宋_GBK" w:hAnsi="方正仿宋_GBK" w:eastAsia="方正仿宋_GBK" w:cs="方正仿宋_GBK"/>
          <w:b w:val="0"/>
          <w:bCs w:val="0"/>
          <w:color w:val="auto"/>
          <w:sz w:val="32"/>
          <w:szCs w:val="32"/>
          <w:lang w:val="en-US" w:eastAsia="zh-CN"/>
        </w:rPr>
      </w:pPr>
      <w:r>
        <w:rPr>
          <w:rFonts w:hint="eastAsia" w:ascii="方正黑体_GBK" w:hAnsi="方正黑体_GBK" w:eastAsia="方正黑体_GBK" w:cs="方正黑体_GBK"/>
          <w:b w:val="0"/>
          <w:bCs w:val="0"/>
          <w:color w:val="auto"/>
          <w:kern w:val="0"/>
          <w:sz w:val="32"/>
          <w:szCs w:val="32"/>
          <w:lang w:val="en-US" w:eastAsia="zh-CN"/>
        </w:rPr>
        <w:t>第五条</w:t>
      </w:r>
      <w:r>
        <w:rPr>
          <w:rFonts w:hint="eastAsia" w:ascii="方正仿宋_GBK" w:hAnsi="方正仿宋_GBK" w:eastAsia="方正仿宋_GBK" w:cs="方正仿宋_GBK"/>
          <w:b/>
          <w:bCs/>
          <w:color w:val="auto"/>
          <w:kern w:val="0"/>
          <w:sz w:val="32"/>
          <w:szCs w:val="32"/>
          <w:lang w:val="en-US" w:eastAsia="zh-CN"/>
        </w:rPr>
        <w:t xml:space="preserve"> </w:t>
      </w:r>
      <w:r>
        <w:rPr>
          <w:rFonts w:hint="eastAsia" w:ascii="方正仿宋_GBK" w:hAnsi="方正仿宋_GBK" w:eastAsia="方正仿宋_GBK" w:cs="方正仿宋_GBK"/>
          <w:b w:val="0"/>
          <w:bCs w:val="0"/>
          <w:color w:val="auto"/>
          <w:sz w:val="32"/>
          <w:szCs w:val="32"/>
          <w:lang w:val="en-US" w:eastAsia="zh-CN"/>
        </w:rPr>
        <w:t>参保患者可在符合条件的定点医疗机构直接办理门诊慢特病准入认定，填报《芜湖市基本医疗保险参保人员门诊慢特病准入申请表》（附件</w:t>
      </w:r>
      <w:r>
        <w:rPr>
          <w:rFonts w:hint="eastAsia" w:ascii="Times New Roman" w:hAnsi="Times New Roman" w:eastAsia="方正仿宋_GBK" w:cs="Times New Roman"/>
          <w:color w:val="auto"/>
          <w:kern w:val="0"/>
          <w:sz w:val="32"/>
          <w:szCs w:val="32"/>
          <w:lang w:val="en-US" w:eastAsia="zh-CN"/>
        </w:rPr>
        <w:t>2</w:t>
      </w:r>
      <w:r>
        <w:rPr>
          <w:rFonts w:hint="eastAsia" w:ascii="方正仿宋_GBK" w:hAnsi="方正仿宋_GBK" w:eastAsia="方正仿宋_GBK" w:cs="方正仿宋_GBK"/>
          <w:b w:val="0"/>
          <w:bCs w:val="0"/>
          <w:color w:val="auto"/>
          <w:sz w:val="32"/>
          <w:szCs w:val="32"/>
          <w:lang w:val="en-US" w:eastAsia="zh-CN"/>
        </w:rPr>
        <w:t>）。</w:t>
      </w:r>
    </w:p>
    <w:p>
      <w:pPr>
        <w:keepNext w:val="0"/>
        <w:keepLines w:val="0"/>
        <w:pageBreakBefore w:val="0"/>
        <w:kinsoku/>
        <w:wordWrap/>
        <w:overflowPunct/>
        <w:topLinePunct w:val="0"/>
        <w:autoSpaceDE/>
        <w:autoSpaceDN/>
        <w:bidi w:val="0"/>
        <w:adjustRightInd/>
        <w:spacing w:line="540" w:lineRule="exact"/>
        <w:ind w:firstLine="640"/>
        <w:jc w:val="both"/>
        <w:rPr>
          <w:rFonts w:hint="eastAsia" w:ascii="方正仿宋_GBK" w:hAnsi="方正仿宋_GBK" w:eastAsia="方正仿宋_GBK" w:cs="方正仿宋_GBK"/>
          <w:b w:val="0"/>
          <w:bCs w:val="0"/>
          <w:color w:val="auto"/>
          <w:sz w:val="32"/>
          <w:szCs w:val="32"/>
          <w:lang w:val="en-US" w:eastAsia="zh-CN"/>
        </w:rPr>
      </w:pPr>
      <w:r>
        <w:rPr>
          <w:rFonts w:hint="eastAsia" w:ascii="方正楷体_GBK" w:hAnsi="方正楷体_GBK" w:eastAsia="方正楷体_GBK" w:cs="方正楷体_GBK"/>
          <w:color w:val="auto"/>
          <w:sz w:val="32"/>
          <w:szCs w:val="32"/>
          <w:lang w:eastAsia="zh-CN"/>
        </w:rPr>
        <w:t>（</w:t>
      </w:r>
      <w:r>
        <w:rPr>
          <w:rFonts w:hint="eastAsia" w:ascii="方正楷体_GBK" w:hAnsi="方正楷体_GBK" w:eastAsia="方正楷体_GBK" w:cs="方正楷体_GBK"/>
          <w:b w:val="0"/>
          <w:bCs w:val="0"/>
          <w:color w:val="auto"/>
          <w:sz w:val="32"/>
          <w:szCs w:val="32"/>
          <w:lang w:val="en-US" w:eastAsia="zh-CN"/>
        </w:rPr>
        <w:t>一）</w:t>
      </w:r>
      <w:r>
        <w:rPr>
          <w:rFonts w:hint="eastAsia" w:ascii="方正仿宋_GBK" w:hAnsi="方正仿宋_GBK" w:eastAsia="方正仿宋_GBK" w:cs="方正仿宋_GBK"/>
          <w:b w:val="0"/>
          <w:bCs w:val="0"/>
          <w:color w:val="auto"/>
          <w:sz w:val="32"/>
          <w:szCs w:val="32"/>
          <w:lang w:val="en-US" w:eastAsia="zh-CN"/>
        </w:rPr>
        <w:t>我市参保人员可在市域内各三级医院、芜湖市传染病医院、芜湖市精神病医院、芜湖市妇幼保健院和无为市、南陵县、湾沚区、繁昌区人民医院及中医院申请门诊慢特病准入认定。</w:t>
      </w:r>
    </w:p>
    <w:p>
      <w:pPr>
        <w:keepNext w:val="0"/>
        <w:keepLines w:val="0"/>
        <w:pageBreakBefore w:val="0"/>
        <w:kinsoku/>
        <w:wordWrap/>
        <w:overflowPunct/>
        <w:topLinePunct w:val="0"/>
        <w:autoSpaceDE/>
        <w:autoSpaceDN/>
        <w:bidi w:val="0"/>
        <w:adjustRightInd/>
        <w:spacing w:line="540" w:lineRule="exact"/>
        <w:ind w:firstLine="640"/>
        <w:jc w:val="both"/>
        <w:rPr>
          <w:rFonts w:hint="eastAsia" w:ascii="方正仿宋_GBK" w:hAnsi="方正仿宋_GBK" w:eastAsia="方正仿宋_GBK" w:cs="方正仿宋_GBK"/>
          <w:b w:val="0"/>
          <w:bCs w:val="0"/>
          <w:color w:val="auto"/>
          <w:sz w:val="32"/>
          <w:szCs w:val="32"/>
          <w:lang w:val="en-US" w:eastAsia="zh-CN"/>
        </w:rPr>
      </w:pPr>
      <w:r>
        <w:rPr>
          <w:rFonts w:hint="eastAsia" w:ascii="方正楷体_GBK" w:hAnsi="方正楷体_GBK" w:eastAsia="方正楷体_GBK" w:cs="方正楷体_GBK"/>
          <w:color w:val="auto"/>
          <w:sz w:val="32"/>
          <w:szCs w:val="32"/>
          <w:lang w:val="en-US" w:eastAsia="zh-CN"/>
        </w:rPr>
        <w:t>（二）</w:t>
      </w:r>
      <w:r>
        <w:rPr>
          <w:rFonts w:hint="eastAsia" w:ascii="方正仿宋_GBK" w:hAnsi="方正仿宋_GBK" w:eastAsia="方正仿宋_GBK" w:cs="方正仿宋_GBK"/>
          <w:b w:val="0"/>
          <w:bCs w:val="0"/>
          <w:color w:val="auto"/>
          <w:sz w:val="32"/>
          <w:szCs w:val="32"/>
          <w:lang w:val="en-US" w:eastAsia="zh-CN"/>
        </w:rPr>
        <w:t>参保人员的普通慢性病病种，也可在市域内二级甲等医院、芜湖市第六人民医院和镜湖区、弋江区、鸠江区人民医院申请。</w:t>
      </w:r>
    </w:p>
    <w:p>
      <w:pPr>
        <w:keepNext w:val="0"/>
        <w:keepLines w:val="0"/>
        <w:pageBreakBefore w:val="0"/>
        <w:kinsoku/>
        <w:wordWrap/>
        <w:overflowPunct/>
        <w:topLinePunct w:val="0"/>
        <w:autoSpaceDE/>
        <w:autoSpaceDN/>
        <w:bidi w:val="0"/>
        <w:adjustRightInd/>
        <w:spacing w:line="540" w:lineRule="exact"/>
        <w:ind w:firstLine="640"/>
        <w:jc w:val="both"/>
        <w:rPr>
          <w:rFonts w:hint="eastAsia" w:ascii="方正仿宋_GBK" w:hAnsi="方正仿宋_GBK" w:eastAsia="方正仿宋_GBK" w:cs="方正仿宋_GBK"/>
          <w:b w:val="0"/>
          <w:bCs w:val="0"/>
          <w:color w:val="auto"/>
          <w:sz w:val="32"/>
          <w:szCs w:val="32"/>
          <w:lang w:val="en-US" w:eastAsia="zh-CN"/>
        </w:rPr>
      </w:pPr>
      <w:r>
        <w:rPr>
          <w:rFonts w:hint="eastAsia" w:ascii="方正楷体_GBK" w:hAnsi="方正楷体_GBK" w:eastAsia="方正楷体_GBK" w:cs="方正楷体_GBK"/>
          <w:color w:val="auto"/>
          <w:sz w:val="32"/>
          <w:szCs w:val="32"/>
          <w:lang w:val="en-US" w:eastAsia="zh-CN"/>
        </w:rPr>
        <w:t>（三）</w:t>
      </w:r>
      <w:r>
        <w:rPr>
          <w:rFonts w:hint="eastAsia" w:ascii="方正仿宋_GBK" w:hAnsi="方正仿宋_GBK" w:eastAsia="方正仿宋_GBK" w:cs="方正仿宋_GBK"/>
          <w:b w:val="0"/>
          <w:bCs w:val="0"/>
          <w:color w:val="auto"/>
          <w:sz w:val="32"/>
          <w:szCs w:val="32"/>
          <w:lang w:val="en-US" w:eastAsia="zh-CN"/>
        </w:rPr>
        <w:t>异地安置人员可持相关资料到皖南医学院第一附属医院（弋矶山医院）、皖南医学院第二附属医院、芜湖市第一人民医院、芜湖市第二人民医院、芜湖市中医院、芜湖市传染病医院、芜湖市精神病医院、安徽省皖南康复医院（芜湖市第五人民医院）和无为市、南陵县、湾沚区、繁昌区人民医院及中医院办理门诊慢特病待遇申请。</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auto"/>
          <w:kern w:val="0"/>
          <w:sz w:val="32"/>
          <w:szCs w:val="32"/>
        </w:rPr>
      </w:pPr>
      <w:r>
        <w:rPr>
          <w:rFonts w:hint="eastAsia" w:ascii="方正黑体_GBK" w:hAnsi="方正黑体_GBK" w:eastAsia="方正黑体_GBK" w:cs="方正黑体_GBK"/>
          <w:b w:val="0"/>
          <w:bCs w:val="0"/>
          <w:color w:val="auto"/>
          <w:kern w:val="0"/>
          <w:sz w:val="32"/>
          <w:szCs w:val="32"/>
          <w:lang w:val="en-US" w:eastAsia="zh-CN"/>
        </w:rPr>
        <w:t>第六条</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kern w:val="0"/>
          <w:sz w:val="32"/>
          <w:szCs w:val="32"/>
        </w:rPr>
        <w:t>恶性肿瘤申报时提供病理报告的，</w:t>
      </w:r>
      <w:r>
        <w:rPr>
          <w:rFonts w:hint="eastAsia" w:ascii="方正仿宋_GBK" w:hAnsi="方正仿宋_GBK" w:eastAsia="方正仿宋_GBK" w:cs="方正仿宋_GBK"/>
          <w:color w:val="auto"/>
          <w:kern w:val="0"/>
          <w:sz w:val="32"/>
          <w:szCs w:val="32"/>
          <w:lang w:eastAsia="zh-CN"/>
        </w:rPr>
        <w:t>慢特</w:t>
      </w:r>
      <w:r>
        <w:rPr>
          <w:rFonts w:hint="eastAsia" w:ascii="方正仿宋_GBK" w:hAnsi="方正仿宋_GBK" w:eastAsia="方正仿宋_GBK" w:cs="方正仿宋_GBK"/>
          <w:color w:val="auto"/>
          <w:kern w:val="0"/>
          <w:sz w:val="32"/>
          <w:szCs w:val="32"/>
        </w:rPr>
        <w:t>病待遇起始时间为病理报告日期；</w:t>
      </w:r>
      <w:r>
        <w:rPr>
          <w:rFonts w:hint="eastAsia" w:ascii="方正仿宋_GBK" w:hAnsi="方正仿宋_GBK" w:eastAsia="方正仿宋_GBK" w:cs="方正仿宋_GBK"/>
          <w:color w:val="auto"/>
          <w:sz w:val="32"/>
          <w:szCs w:val="32"/>
          <w:lang w:val="en-US" w:eastAsia="zh-CN"/>
        </w:rPr>
        <w:t>心脏瓣膜置换术后、</w:t>
      </w:r>
      <w:r>
        <w:rPr>
          <w:rFonts w:hint="eastAsia" w:ascii="方正仿宋_GBK" w:hAnsi="方正仿宋_GBK" w:eastAsia="方正仿宋_GBK" w:cs="方正仿宋_GBK"/>
          <w:color w:val="auto"/>
          <w:kern w:val="0"/>
          <w:sz w:val="32"/>
          <w:szCs w:val="32"/>
          <w:lang w:eastAsia="zh-CN"/>
        </w:rPr>
        <w:t>血管</w:t>
      </w:r>
      <w:r>
        <w:rPr>
          <w:rFonts w:hint="eastAsia" w:ascii="方正仿宋_GBK" w:hAnsi="方正仿宋_GBK" w:eastAsia="方正仿宋_GBK" w:cs="方正仿宋_GBK"/>
          <w:color w:val="auto"/>
          <w:kern w:val="0"/>
          <w:sz w:val="32"/>
          <w:szCs w:val="32"/>
        </w:rPr>
        <w:t>支架</w:t>
      </w:r>
      <w:r>
        <w:rPr>
          <w:rFonts w:hint="eastAsia" w:ascii="方正仿宋_GBK" w:hAnsi="方正仿宋_GBK" w:eastAsia="方正仿宋_GBK" w:cs="方正仿宋_GBK"/>
          <w:color w:val="auto"/>
          <w:kern w:val="0"/>
          <w:sz w:val="32"/>
          <w:szCs w:val="32"/>
          <w:lang w:eastAsia="zh-CN"/>
        </w:rPr>
        <w:t>植入</w:t>
      </w:r>
      <w:r>
        <w:rPr>
          <w:rFonts w:hint="eastAsia" w:ascii="方正仿宋_GBK" w:hAnsi="方正仿宋_GBK" w:eastAsia="方正仿宋_GBK" w:cs="方正仿宋_GBK"/>
          <w:color w:val="auto"/>
          <w:kern w:val="0"/>
          <w:sz w:val="32"/>
          <w:szCs w:val="32"/>
        </w:rPr>
        <w:t>术后</w:t>
      </w:r>
      <w:r>
        <w:rPr>
          <w:rFonts w:hint="eastAsia" w:ascii="方正仿宋_GBK" w:hAnsi="方正仿宋_GBK" w:eastAsia="方正仿宋_GBK" w:cs="方正仿宋_GBK"/>
          <w:color w:val="auto"/>
          <w:kern w:val="0"/>
          <w:sz w:val="32"/>
          <w:szCs w:val="32"/>
          <w:lang w:eastAsia="zh-CN"/>
        </w:rPr>
        <w:t>、心脏冠脉搭桥术后、</w:t>
      </w:r>
      <w:r>
        <w:rPr>
          <w:rFonts w:hint="eastAsia" w:ascii="方正仿宋_GBK" w:hAnsi="方正仿宋_GBK" w:eastAsia="方正仿宋_GBK" w:cs="方正仿宋_GBK"/>
          <w:color w:val="auto"/>
          <w:kern w:val="0"/>
          <w:sz w:val="32"/>
          <w:szCs w:val="32"/>
        </w:rPr>
        <w:t>器官移植术后</w:t>
      </w:r>
      <w:r>
        <w:rPr>
          <w:rFonts w:hint="eastAsia" w:ascii="方正仿宋_GBK" w:hAnsi="方正仿宋_GBK" w:eastAsia="方正仿宋_GBK" w:cs="方正仿宋_GBK"/>
          <w:color w:val="auto"/>
          <w:kern w:val="0"/>
          <w:sz w:val="32"/>
          <w:szCs w:val="32"/>
          <w:lang w:eastAsia="zh-CN"/>
        </w:rPr>
        <w:t>，慢特病</w:t>
      </w:r>
      <w:r>
        <w:rPr>
          <w:rFonts w:hint="eastAsia" w:ascii="方正仿宋_GBK" w:hAnsi="方正仿宋_GBK" w:eastAsia="方正仿宋_GBK" w:cs="方正仿宋_GBK"/>
          <w:color w:val="auto"/>
          <w:kern w:val="0"/>
          <w:sz w:val="32"/>
          <w:szCs w:val="32"/>
        </w:rPr>
        <w:t>待遇起始时间为手术当次住院出院日期</w:t>
      </w:r>
      <w:r>
        <w:rPr>
          <w:rFonts w:hint="eastAsia" w:ascii="方正仿宋_GBK" w:hAnsi="方正仿宋_GBK" w:eastAsia="方正仿宋_GBK" w:cs="方正仿宋_GBK"/>
          <w:color w:val="auto"/>
          <w:kern w:val="0"/>
          <w:sz w:val="32"/>
          <w:szCs w:val="32"/>
          <w:lang w:eastAsia="zh-CN"/>
        </w:rPr>
        <w:t>；</w:t>
      </w:r>
      <w:r>
        <w:rPr>
          <w:rFonts w:hint="eastAsia" w:ascii="方正仿宋_GBK" w:hAnsi="方正仿宋_GBK" w:eastAsia="方正仿宋_GBK" w:cs="方正仿宋_GBK"/>
          <w:color w:val="auto"/>
          <w:kern w:val="0"/>
          <w:sz w:val="32"/>
          <w:szCs w:val="32"/>
        </w:rPr>
        <w:t>慢性肾衰竭（尿毒症期）自确诊后第一次进行透析时间开始享受</w:t>
      </w:r>
      <w:r>
        <w:rPr>
          <w:rFonts w:hint="eastAsia" w:ascii="方正仿宋_GBK" w:hAnsi="方正仿宋_GBK" w:eastAsia="方正仿宋_GBK" w:cs="方正仿宋_GBK"/>
          <w:color w:val="auto"/>
          <w:kern w:val="0"/>
          <w:sz w:val="32"/>
          <w:szCs w:val="32"/>
          <w:lang w:eastAsia="zh-CN"/>
        </w:rPr>
        <w:t>慢特</w:t>
      </w:r>
      <w:r>
        <w:rPr>
          <w:rFonts w:hint="eastAsia" w:ascii="方正仿宋_GBK" w:hAnsi="方正仿宋_GBK" w:eastAsia="方正仿宋_GBK" w:cs="方正仿宋_GBK"/>
          <w:color w:val="auto"/>
          <w:kern w:val="0"/>
          <w:sz w:val="32"/>
          <w:szCs w:val="32"/>
        </w:rPr>
        <w:t>病待遇</w:t>
      </w:r>
      <w:r>
        <w:rPr>
          <w:rFonts w:hint="eastAsia" w:ascii="方正仿宋_GBK" w:hAnsi="方正仿宋_GBK" w:eastAsia="方正仿宋_GBK" w:cs="方正仿宋_GBK"/>
          <w:color w:val="auto"/>
          <w:kern w:val="0"/>
          <w:sz w:val="32"/>
          <w:szCs w:val="32"/>
          <w:lang w:eastAsia="zh-CN"/>
        </w:rPr>
        <w:t>。其他</w:t>
      </w:r>
      <w:r>
        <w:rPr>
          <w:rFonts w:hint="eastAsia" w:ascii="方正仿宋_GBK" w:hAnsi="方正仿宋_GBK" w:eastAsia="方正仿宋_GBK" w:cs="方正仿宋_GBK"/>
          <w:color w:val="auto"/>
          <w:kern w:val="0"/>
          <w:sz w:val="32"/>
          <w:szCs w:val="32"/>
        </w:rPr>
        <w:t>被认定的门诊慢</w:t>
      </w:r>
      <w:r>
        <w:rPr>
          <w:rFonts w:hint="eastAsia" w:ascii="方正仿宋_GBK" w:hAnsi="方正仿宋_GBK" w:eastAsia="方正仿宋_GBK" w:cs="方正仿宋_GBK"/>
          <w:color w:val="auto"/>
          <w:kern w:val="0"/>
          <w:sz w:val="32"/>
          <w:szCs w:val="32"/>
          <w:lang w:eastAsia="zh-CN"/>
        </w:rPr>
        <w:t>特</w:t>
      </w:r>
      <w:r>
        <w:rPr>
          <w:rFonts w:hint="eastAsia" w:ascii="方正仿宋_GBK" w:hAnsi="方正仿宋_GBK" w:eastAsia="方正仿宋_GBK" w:cs="方正仿宋_GBK"/>
          <w:color w:val="auto"/>
          <w:kern w:val="0"/>
          <w:sz w:val="32"/>
          <w:szCs w:val="32"/>
        </w:rPr>
        <w:t>病患者，其待遇从审核认定之日</w:t>
      </w:r>
      <w:r>
        <w:rPr>
          <w:rFonts w:hint="eastAsia" w:ascii="方正仿宋_GBK" w:hAnsi="方正仿宋_GBK" w:eastAsia="方正仿宋_GBK" w:cs="方正仿宋_GBK"/>
          <w:color w:val="auto"/>
          <w:kern w:val="0"/>
          <w:sz w:val="32"/>
          <w:szCs w:val="32"/>
          <w:lang w:eastAsia="zh-CN"/>
        </w:rPr>
        <w:t>起</w:t>
      </w:r>
      <w:r>
        <w:rPr>
          <w:rFonts w:hint="eastAsia" w:ascii="方正仿宋_GBK" w:hAnsi="方正仿宋_GBK" w:eastAsia="方正仿宋_GBK" w:cs="方正仿宋_GBK"/>
          <w:color w:val="auto"/>
          <w:kern w:val="0"/>
          <w:sz w:val="32"/>
          <w:szCs w:val="32"/>
        </w:rPr>
        <w:t>开始享受。</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auto"/>
          <w:kern w:val="0"/>
          <w:sz w:val="32"/>
          <w:szCs w:val="32"/>
          <w:lang w:eastAsia="zh-CN"/>
        </w:rPr>
      </w:pPr>
      <w:r>
        <w:rPr>
          <w:rFonts w:hint="eastAsia" w:ascii="方正黑体_GBK" w:hAnsi="方正黑体_GBK" w:eastAsia="方正黑体_GBK" w:cs="方正黑体_GBK"/>
          <w:b w:val="0"/>
          <w:bCs w:val="0"/>
          <w:color w:val="auto"/>
          <w:kern w:val="0"/>
          <w:sz w:val="32"/>
          <w:szCs w:val="32"/>
          <w:lang w:val="en-US" w:eastAsia="zh-CN"/>
        </w:rPr>
        <w:t>第七条</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color w:val="auto"/>
          <w:kern w:val="0"/>
          <w:sz w:val="32"/>
          <w:szCs w:val="32"/>
          <w:lang w:val="en-US" w:eastAsia="zh-CN"/>
        </w:rPr>
        <w:t>门诊慢特病准入认定标准按照省文件执行（附件</w:t>
      </w:r>
      <w:r>
        <w:rPr>
          <w:rFonts w:hint="default" w:ascii="Times New Roman" w:hAnsi="Times New Roman" w:eastAsia="方正仿宋_GBK" w:cs="Times New Roman"/>
          <w:color w:val="auto"/>
          <w:kern w:val="0"/>
          <w:sz w:val="32"/>
          <w:szCs w:val="32"/>
          <w:lang w:val="en-US" w:eastAsia="zh-CN"/>
        </w:rPr>
        <w:t>3</w:t>
      </w:r>
      <w:r>
        <w:rPr>
          <w:rFonts w:hint="eastAsia" w:ascii="方正仿宋_GBK" w:hAnsi="方正仿宋_GBK" w:eastAsia="方正仿宋_GBK" w:cs="方正仿宋_GBK"/>
          <w:color w:val="auto"/>
          <w:kern w:val="0"/>
          <w:sz w:val="32"/>
          <w:szCs w:val="32"/>
          <w:lang w:val="en-US" w:eastAsia="zh-CN"/>
        </w:rPr>
        <w:t>）。</w:t>
      </w:r>
    </w:p>
    <w:p>
      <w:pPr>
        <w:keepNext w:val="0"/>
        <w:keepLines w:val="0"/>
        <w:pageBreakBefore w:val="0"/>
        <w:kinsoku/>
        <w:wordWrap/>
        <w:overflowPunct/>
        <w:topLinePunct w:val="0"/>
        <w:autoSpaceDE/>
        <w:autoSpaceDN/>
        <w:bidi w:val="0"/>
        <w:adjustRightInd/>
        <w:snapToGrid/>
        <w:spacing w:line="590" w:lineRule="exact"/>
        <w:jc w:val="center"/>
        <w:textAlignment w:val="auto"/>
        <w:rPr>
          <w:rFonts w:hint="eastAsia" w:ascii="黑体" w:hAnsi="黑体" w:eastAsia="黑体"/>
          <w:sz w:val="32"/>
          <w:szCs w:val="32"/>
        </w:rPr>
      </w:pPr>
    </w:p>
    <w:p>
      <w:pPr>
        <w:keepNext w:val="0"/>
        <w:keepLines w:val="0"/>
        <w:pageBreakBefore w:val="0"/>
        <w:kinsoku/>
        <w:wordWrap/>
        <w:overflowPunct/>
        <w:topLinePunct w:val="0"/>
        <w:autoSpaceDE/>
        <w:autoSpaceDN/>
        <w:bidi w:val="0"/>
        <w:adjustRightInd/>
        <w:snapToGrid/>
        <w:spacing w:line="590" w:lineRule="exact"/>
        <w:jc w:val="center"/>
        <w:textAlignment w:val="auto"/>
        <w:rPr>
          <w:rFonts w:hint="eastAsia" w:ascii="黑体" w:hAnsi="黑体" w:eastAsia="黑体"/>
          <w:sz w:val="32"/>
          <w:szCs w:val="32"/>
        </w:rPr>
      </w:pPr>
      <w:r>
        <w:rPr>
          <w:rFonts w:hint="eastAsia" w:ascii="方正黑体_GBK" w:hAnsi="方正黑体_GBK" w:eastAsia="方正黑体_GBK" w:cs="方正黑体_GBK"/>
          <w:b w:val="0"/>
          <w:bCs w:val="0"/>
          <w:color w:val="auto"/>
          <w:sz w:val="32"/>
          <w:szCs w:val="32"/>
          <w:lang w:val="en-US" w:eastAsia="zh-CN"/>
        </w:rPr>
        <w:t>第四章 门诊慢特病定点管理</w:t>
      </w:r>
    </w:p>
    <w:p>
      <w:pPr>
        <w:numPr>
          <w:ilvl w:val="0"/>
          <w:numId w:val="0"/>
        </w:numPr>
        <w:jc w:val="center"/>
        <w:rPr>
          <w:rFonts w:hint="eastAsia" w:ascii="方正黑体_GBK" w:hAnsi="方正黑体_GBK" w:eastAsia="方正黑体_GBK" w:cs="方正黑体_GBK"/>
          <w:b w:val="0"/>
          <w:bCs w:val="0"/>
          <w:color w:val="auto"/>
          <w:sz w:val="32"/>
          <w:szCs w:val="32"/>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auto"/>
          <w:kern w:val="0"/>
          <w:sz w:val="32"/>
          <w:szCs w:val="32"/>
          <w:lang w:val="en-US" w:eastAsia="zh-CN"/>
        </w:rPr>
      </w:pPr>
      <w:r>
        <w:rPr>
          <w:rFonts w:hint="eastAsia" w:ascii="方正黑体_GBK" w:hAnsi="方正黑体_GBK" w:eastAsia="方正黑体_GBK" w:cs="方正黑体_GBK"/>
          <w:b w:val="0"/>
          <w:bCs w:val="0"/>
          <w:color w:val="auto"/>
          <w:kern w:val="0"/>
          <w:sz w:val="32"/>
          <w:szCs w:val="32"/>
          <w:lang w:val="en-US" w:eastAsia="zh-CN"/>
        </w:rPr>
        <w:t>第八条</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kern w:val="0"/>
          <w:sz w:val="32"/>
          <w:szCs w:val="32"/>
          <w:lang w:val="en-US" w:eastAsia="zh-CN"/>
        </w:rPr>
        <w:t>具备基本医疗保险住院资质的定点医疗机构，可申请成为芜湖市基本医疗保险门诊慢性病定点医疗机构，具体申报流程按定点医疗机构申请开展门诊慢性病业务有关规定执行。纳入本统筹区“双通道”管理的定点零售药店自动确定为门诊慢特病定点零售药店。</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trike w:val="0"/>
          <w:dstrike w:val="0"/>
          <w:color w:val="auto"/>
          <w:kern w:val="0"/>
          <w:sz w:val="32"/>
          <w:szCs w:val="32"/>
          <w:lang w:val="en-US" w:eastAsia="zh-CN"/>
        </w:rPr>
      </w:pPr>
      <w:r>
        <w:rPr>
          <w:rFonts w:hint="eastAsia" w:ascii="方正黑体_GBK" w:hAnsi="方正黑体_GBK" w:eastAsia="方正黑体_GBK" w:cs="方正黑体_GBK"/>
          <w:b w:val="0"/>
          <w:bCs w:val="0"/>
          <w:color w:val="auto"/>
          <w:kern w:val="0"/>
          <w:sz w:val="32"/>
          <w:szCs w:val="32"/>
          <w:lang w:val="en-US" w:eastAsia="zh-CN"/>
        </w:rPr>
        <w:t>第九条</w:t>
      </w:r>
      <w:r>
        <w:rPr>
          <w:rFonts w:hint="eastAsia" w:ascii="方正仿宋_GBK" w:hAnsi="方正仿宋_GBK" w:eastAsia="方正仿宋_GBK" w:cs="方正仿宋_GBK"/>
          <w:color w:val="auto"/>
          <w:sz w:val="32"/>
          <w:szCs w:val="32"/>
          <w:lang w:val="en-US" w:eastAsia="zh-CN"/>
        </w:rPr>
        <w:t xml:space="preserve"> 医药机构信息系统互联互通尚未实现前，</w:t>
      </w:r>
      <w:r>
        <w:rPr>
          <w:rFonts w:hint="eastAsia" w:ascii="方正仿宋_GBK" w:hAnsi="方正仿宋_GBK" w:eastAsia="方正仿宋_GBK" w:cs="方正仿宋_GBK"/>
          <w:color w:val="auto"/>
          <w:kern w:val="0"/>
          <w:sz w:val="32"/>
          <w:szCs w:val="32"/>
          <w:lang w:val="en-US" w:eastAsia="zh-CN"/>
        </w:rPr>
        <w:t>门诊慢特病患者门诊就医、购药实行定点管理。</w:t>
      </w:r>
      <w:r>
        <w:rPr>
          <w:rFonts w:hint="eastAsia" w:ascii="方正仿宋_GBK" w:hAnsi="方正仿宋_GBK" w:eastAsia="方正仿宋_GBK" w:cs="方正仿宋_GBK"/>
          <w:color w:val="auto"/>
          <w:kern w:val="0"/>
          <w:sz w:val="32"/>
          <w:szCs w:val="32"/>
          <w:u w:val="none"/>
          <w:lang w:val="en-US" w:eastAsia="zh-CN"/>
        </w:rPr>
        <w:t>城镇职工医保门诊慢特病患者可自行选择本市内三家定点医疗机构就医和本市内一家慢性病定点零售药店购药。城</w:t>
      </w:r>
      <w:r>
        <w:rPr>
          <w:rFonts w:hint="eastAsia" w:ascii="方正仿宋_GBK" w:hAnsi="方正仿宋_GBK" w:eastAsia="方正仿宋_GBK" w:cs="方正仿宋_GBK"/>
          <w:color w:val="auto"/>
          <w:kern w:val="0"/>
          <w:sz w:val="32"/>
          <w:szCs w:val="32"/>
          <w:lang w:val="en-US" w:eastAsia="zh-CN"/>
        </w:rPr>
        <w:t>乡居民医保门</w:t>
      </w:r>
      <w:r>
        <w:rPr>
          <w:rFonts w:hint="eastAsia" w:ascii="方正仿宋_GBK" w:hAnsi="方正仿宋_GBK" w:eastAsia="方正仿宋_GBK" w:cs="方正仿宋_GBK"/>
          <w:color w:val="auto"/>
          <w:kern w:val="0"/>
          <w:sz w:val="32"/>
          <w:szCs w:val="32"/>
          <w:u w:val="none"/>
          <w:lang w:val="en-US" w:eastAsia="zh-CN"/>
        </w:rPr>
        <w:t>诊慢特病患者可自行选择本市内三家定点医疗机构就医。</w:t>
      </w:r>
      <w:r>
        <w:rPr>
          <w:rFonts w:hint="eastAsia" w:ascii="方正仿宋_GBK" w:hAnsi="方正仿宋_GBK" w:eastAsia="方正仿宋_GBK" w:cs="方正仿宋_GBK"/>
          <w:strike w:val="0"/>
          <w:dstrike w:val="0"/>
          <w:color w:val="auto"/>
          <w:kern w:val="0"/>
          <w:sz w:val="32"/>
          <w:szCs w:val="32"/>
          <w:lang w:val="en-US" w:eastAsia="zh-CN"/>
        </w:rPr>
        <w:t>本市内“双通道”药店均可作为我市基本医疗保险参保患者购买国家医保谈判药品定点药店，不受家数限制（城乡居民参保患者仅限购买抗癌谈判药）。</w:t>
      </w:r>
      <w:r>
        <w:rPr>
          <w:rFonts w:hint="eastAsia" w:ascii="方正仿宋_GBK" w:hAnsi="方正仿宋_GBK" w:eastAsia="方正仿宋_GBK" w:cs="方正仿宋_GBK"/>
          <w:color w:val="auto"/>
          <w:kern w:val="0"/>
          <w:sz w:val="32"/>
          <w:szCs w:val="32"/>
          <w:lang w:val="en-US" w:eastAsia="zh-CN"/>
        </w:rPr>
        <w:t>本细则印发前</w:t>
      </w:r>
      <w:r>
        <w:rPr>
          <w:rFonts w:hint="eastAsia" w:ascii="方正仿宋_GBK" w:hAnsi="方正仿宋_GBK" w:eastAsia="方正仿宋_GBK" w:cs="方正仿宋_GBK"/>
          <w:color w:val="auto"/>
          <w:sz w:val="32"/>
          <w:szCs w:val="32"/>
          <w:lang w:val="en-US" w:eastAsia="zh-CN"/>
        </w:rPr>
        <w:t>已申请纳入门诊慢特病管理的城乡居民参保患者选择的定点数量高于本</w:t>
      </w:r>
      <w:r>
        <w:rPr>
          <w:rFonts w:hint="eastAsia" w:ascii="方正仿宋_GBK" w:hAnsi="方正仿宋_GBK" w:eastAsia="方正仿宋_GBK" w:cs="方正仿宋_GBK"/>
          <w:color w:val="auto"/>
          <w:kern w:val="0"/>
          <w:sz w:val="32"/>
          <w:szCs w:val="32"/>
          <w:lang w:val="en-US" w:eastAsia="zh-CN"/>
        </w:rPr>
        <w:t>细则</w:t>
      </w:r>
      <w:r>
        <w:rPr>
          <w:rFonts w:hint="eastAsia" w:ascii="方正仿宋_GBK" w:hAnsi="方正仿宋_GBK" w:eastAsia="方正仿宋_GBK" w:cs="方正仿宋_GBK"/>
          <w:color w:val="auto"/>
          <w:sz w:val="32"/>
          <w:szCs w:val="32"/>
          <w:lang w:val="en-US" w:eastAsia="zh-CN"/>
        </w:rPr>
        <w:t>规定的，保留原定点。</w:t>
      </w:r>
      <w:r>
        <w:rPr>
          <w:rFonts w:hint="eastAsia" w:ascii="方正仿宋_GBK" w:hAnsi="方正仿宋_GBK" w:eastAsia="方正仿宋_GBK" w:cs="方正仿宋_GBK"/>
          <w:color w:val="auto"/>
          <w:kern w:val="0"/>
          <w:sz w:val="32"/>
          <w:szCs w:val="32"/>
          <w:lang w:val="en-US" w:eastAsia="zh-CN"/>
        </w:rPr>
        <w:t>选定的门诊慢特病定点医药机构原则上一年内不予变更。</w:t>
      </w:r>
      <w:r>
        <w:rPr>
          <w:rFonts w:hint="eastAsia" w:ascii="方正仿宋_GBK" w:hAnsi="方正仿宋_GBK" w:eastAsia="方正仿宋_GBK" w:cs="方正仿宋_GBK"/>
          <w:strike w:val="0"/>
          <w:dstrike w:val="0"/>
          <w:color w:val="auto"/>
          <w:kern w:val="0"/>
          <w:sz w:val="32"/>
          <w:szCs w:val="32"/>
          <w:lang w:val="en-US" w:eastAsia="zh-CN"/>
        </w:rPr>
        <w:t>基本医保慢性肾衰竭（尿毒症期）门诊慢性病患者及城镇职工医保器官移植术后抗排异治疗门诊慢性病患者按现行签约政策执行。</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auto"/>
          <w:kern w:val="0"/>
          <w:sz w:val="32"/>
          <w:szCs w:val="32"/>
          <w:u w:val="none"/>
          <w:lang w:val="en-US" w:eastAsia="zh-CN"/>
        </w:rPr>
      </w:pPr>
      <w:r>
        <w:rPr>
          <w:rFonts w:hint="eastAsia" w:ascii="方正黑体_GBK" w:hAnsi="方正黑体_GBK" w:eastAsia="方正黑体_GBK" w:cs="方正黑体_GBK"/>
          <w:b w:val="0"/>
          <w:bCs w:val="0"/>
          <w:color w:val="auto"/>
          <w:kern w:val="0"/>
          <w:sz w:val="32"/>
          <w:szCs w:val="32"/>
          <w:lang w:val="en-US" w:eastAsia="zh-CN"/>
        </w:rPr>
        <w:t>第十条</w:t>
      </w:r>
      <w:r>
        <w:rPr>
          <w:rFonts w:hint="eastAsia" w:ascii="方正仿宋_GBK" w:hAnsi="方正仿宋_GBK" w:eastAsia="方正仿宋_GBK" w:cs="方正仿宋_GBK"/>
          <w:color w:val="auto"/>
          <w:kern w:val="0"/>
          <w:sz w:val="32"/>
          <w:szCs w:val="32"/>
          <w:u w:val="none"/>
          <w:lang w:val="en-US" w:eastAsia="zh-CN"/>
        </w:rPr>
        <w:t xml:space="preserve"> 职工医保异地安置人员可在安置地和本市内选择门诊慢特病定点医疗机构。</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auto"/>
          <w:kern w:val="0"/>
          <w:sz w:val="32"/>
          <w:szCs w:val="32"/>
          <w:u w:val="none"/>
          <w:lang w:val="en-US" w:eastAsia="zh-CN"/>
        </w:rPr>
      </w:pPr>
      <w:r>
        <w:rPr>
          <w:rFonts w:hint="eastAsia" w:ascii="方正黑体_GBK" w:hAnsi="方正黑体_GBK" w:eastAsia="方正黑体_GBK" w:cs="方正黑体_GBK"/>
          <w:b w:val="0"/>
          <w:bCs w:val="0"/>
          <w:color w:val="auto"/>
          <w:kern w:val="0"/>
          <w:sz w:val="32"/>
          <w:szCs w:val="32"/>
          <w:lang w:val="en-US" w:eastAsia="zh-CN"/>
        </w:rPr>
        <w:t>第十一条</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kern w:val="0"/>
          <w:sz w:val="32"/>
          <w:szCs w:val="32"/>
          <w:u w:val="none"/>
          <w:lang w:val="en-US" w:eastAsia="zh-CN"/>
        </w:rPr>
        <w:t>参保人员变更门诊慢特病选定的定点医药机构，医保经办机构和定点医疗机构均可办理。变更选定的定点医疗机构，原则上由新选定的定点医疗机构办理。</w:t>
      </w:r>
    </w:p>
    <w:p>
      <w:pPr>
        <w:keepNext w:val="0"/>
        <w:keepLines w:val="0"/>
        <w:pageBreakBefore w:val="0"/>
        <w:kinsoku/>
        <w:wordWrap/>
        <w:overflowPunct/>
        <w:topLinePunct w:val="0"/>
        <w:autoSpaceDE/>
        <w:autoSpaceDN/>
        <w:bidi w:val="0"/>
        <w:adjustRightInd/>
        <w:snapToGrid/>
        <w:spacing w:line="590" w:lineRule="exact"/>
        <w:jc w:val="center"/>
        <w:textAlignment w:val="auto"/>
        <w:rPr>
          <w:rFonts w:hint="eastAsia" w:ascii="黑体" w:hAnsi="黑体" w:eastAsia="黑体"/>
          <w:sz w:val="32"/>
          <w:szCs w:val="32"/>
        </w:rPr>
      </w:pPr>
    </w:p>
    <w:p>
      <w:pPr>
        <w:keepNext w:val="0"/>
        <w:keepLines w:val="0"/>
        <w:pageBreakBefore w:val="0"/>
        <w:kinsoku/>
        <w:wordWrap/>
        <w:overflowPunct/>
        <w:topLinePunct w:val="0"/>
        <w:autoSpaceDE/>
        <w:autoSpaceDN/>
        <w:bidi w:val="0"/>
        <w:adjustRightInd/>
        <w:snapToGrid/>
        <w:spacing w:line="590" w:lineRule="exact"/>
        <w:jc w:val="center"/>
        <w:textAlignment w:val="auto"/>
        <w:rPr>
          <w:rFonts w:hint="eastAsia" w:ascii="黑体" w:hAnsi="黑体" w:eastAsia="黑体"/>
          <w:sz w:val="32"/>
          <w:szCs w:val="32"/>
        </w:rPr>
      </w:pPr>
      <w:r>
        <w:rPr>
          <w:rFonts w:hint="eastAsia" w:ascii="方正黑体_GBK" w:hAnsi="方正黑体_GBK" w:eastAsia="方正黑体_GBK" w:cs="方正黑体_GBK"/>
          <w:b w:val="0"/>
          <w:bCs w:val="0"/>
          <w:color w:val="auto"/>
          <w:sz w:val="32"/>
          <w:szCs w:val="32"/>
          <w:lang w:val="en-US" w:eastAsia="zh-CN"/>
        </w:rPr>
        <w:t>第五章 门诊慢特病待遇保障</w:t>
      </w:r>
    </w:p>
    <w:p>
      <w:pPr>
        <w:numPr>
          <w:ilvl w:val="0"/>
          <w:numId w:val="0"/>
        </w:numPr>
        <w:jc w:val="center"/>
        <w:rPr>
          <w:rFonts w:hint="eastAsia" w:ascii="方正黑体_GBK" w:hAnsi="方正黑体_GBK" w:eastAsia="方正黑体_GBK" w:cs="方正黑体_GBK"/>
          <w:b w:val="0"/>
          <w:bCs w:val="0"/>
          <w:color w:val="auto"/>
          <w:sz w:val="32"/>
          <w:szCs w:val="32"/>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auto"/>
          <w:kern w:val="0"/>
          <w:sz w:val="32"/>
          <w:szCs w:val="32"/>
          <w:lang w:val="en-US" w:eastAsia="zh-CN"/>
        </w:rPr>
      </w:pPr>
      <w:r>
        <w:rPr>
          <w:rFonts w:hint="eastAsia" w:ascii="方正黑体_GBK" w:hAnsi="方正黑体_GBK" w:eastAsia="方正黑体_GBK" w:cs="方正黑体_GBK"/>
          <w:b w:val="0"/>
          <w:bCs w:val="0"/>
          <w:color w:val="auto"/>
          <w:kern w:val="0"/>
          <w:sz w:val="32"/>
          <w:szCs w:val="32"/>
          <w:lang w:val="en-US" w:eastAsia="zh-CN"/>
        </w:rPr>
        <w:t>第十二条</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color w:val="auto"/>
          <w:kern w:val="0"/>
          <w:sz w:val="32"/>
          <w:szCs w:val="32"/>
          <w:lang w:val="en-US" w:eastAsia="zh-CN"/>
        </w:rPr>
        <w:t>城乡居民医保</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auto"/>
          <w:kern w:val="0"/>
          <w:sz w:val="32"/>
          <w:szCs w:val="32"/>
          <w:lang w:val="en-US" w:eastAsia="zh-CN"/>
        </w:rPr>
      </w:pPr>
      <w:r>
        <w:rPr>
          <w:rFonts w:hint="eastAsia" w:ascii="方正楷体_GBK" w:hAnsi="方正楷体_GBK" w:eastAsia="方正楷体_GBK" w:cs="方正楷体_GBK"/>
          <w:color w:val="auto"/>
          <w:sz w:val="32"/>
          <w:szCs w:val="32"/>
          <w:lang w:val="en-US" w:eastAsia="zh-CN"/>
        </w:rPr>
        <w:t>（一）</w:t>
      </w:r>
      <w:r>
        <w:rPr>
          <w:rFonts w:hint="eastAsia" w:ascii="方正仿宋_GBK" w:hAnsi="方正仿宋_GBK" w:eastAsia="方正仿宋_GBK" w:cs="方正仿宋_GBK"/>
          <w:color w:val="auto"/>
          <w:kern w:val="0"/>
          <w:sz w:val="32"/>
          <w:szCs w:val="32"/>
          <w:lang w:val="en-US" w:eastAsia="zh-CN"/>
        </w:rPr>
        <w:t>普通慢性病门诊不设起付线，政策范围内医药费用按</w:t>
      </w:r>
      <w:r>
        <w:rPr>
          <w:rFonts w:hint="eastAsia" w:ascii="Times New Roman" w:hAnsi="Times New Roman" w:eastAsia="方正仿宋_GBK" w:cs="Times New Roman"/>
          <w:color w:val="auto"/>
          <w:kern w:val="0"/>
          <w:sz w:val="32"/>
          <w:szCs w:val="32"/>
          <w:lang w:val="en-US" w:eastAsia="zh-CN"/>
        </w:rPr>
        <w:t>60%</w:t>
      </w:r>
      <w:r>
        <w:rPr>
          <w:rFonts w:hint="eastAsia" w:ascii="方正仿宋_GBK" w:hAnsi="方正仿宋_GBK" w:eastAsia="方正仿宋_GBK" w:cs="方正仿宋_GBK"/>
          <w:color w:val="auto"/>
          <w:kern w:val="0"/>
          <w:sz w:val="32"/>
          <w:szCs w:val="32"/>
          <w:lang w:val="en-US" w:eastAsia="zh-CN"/>
        </w:rPr>
        <w:t>的比例进行报销，年度累计报销限额</w:t>
      </w:r>
      <w:r>
        <w:rPr>
          <w:rFonts w:hint="eastAsia" w:ascii="Times New Roman" w:hAnsi="Times New Roman" w:eastAsia="方正仿宋_GBK" w:cs="Times New Roman"/>
          <w:color w:val="auto"/>
          <w:kern w:val="0"/>
          <w:sz w:val="32"/>
          <w:szCs w:val="32"/>
          <w:lang w:val="en-US" w:eastAsia="zh-CN"/>
        </w:rPr>
        <w:t>3000</w:t>
      </w:r>
      <w:r>
        <w:rPr>
          <w:rFonts w:hint="eastAsia" w:ascii="方正仿宋_GBK" w:hAnsi="方正仿宋_GBK" w:eastAsia="方正仿宋_GBK" w:cs="方正仿宋_GBK"/>
          <w:color w:val="auto"/>
          <w:kern w:val="0"/>
          <w:sz w:val="32"/>
          <w:szCs w:val="32"/>
          <w:lang w:val="en-US" w:eastAsia="zh-CN"/>
        </w:rPr>
        <w:t>元。患多种慢性病的，每增加</w:t>
      </w:r>
      <w:r>
        <w:rPr>
          <w:rFonts w:hint="eastAsia" w:ascii="Times New Roman" w:hAnsi="Times New Roman" w:eastAsia="方正仿宋_GBK" w:cs="Times New Roman"/>
          <w:color w:val="auto"/>
          <w:kern w:val="0"/>
          <w:sz w:val="32"/>
          <w:szCs w:val="32"/>
          <w:lang w:val="en-US" w:eastAsia="zh-CN"/>
        </w:rPr>
        <w:t>1</w:t>
      </w:r>
      <w:r>
        <w:rPr>
          <w:rFonts w:hint="eastAsia" w:ascii="方正仿宋_GBK" w:hAnsi="方正仿宋_GBK" w:eastAsia="方正仿宋_GBK" w:cs="方正仿宋_GBK"/>
          <w:color w:val="auto"/>
          <w:kern w:val="0"/>
          <w:sz w:val="32"/>
          <w:szCs w:val="32"/>
          <w:lang w:val="en-US" w:eastAsia="zh-CN"/>
        </w:rPr>
        <w:t>个病种，统筹基金支付限额增加</w:t>
      </w:r>
      <w:r>
        <w:rPr>
          <w:rFonts w:hint="eastAsia" w:ascii="Times New Roman" w:hAnsi="Times New Roman" w:eastAsia="方正仿宋_GBK" w:cs="Times New Roman"/>
          <w:color w:val="auto"/>
          <w:kern w:val="0"/>
          <w:sz w:val="32"/>
          <w:szCs w:val="32"/>
          <w:lang w:val="en-US" w:eastAsia="zh-CN"/>
        </w:rPr>
        <w:t>300</w:t>
      </w:r>
      <w:r>
        <w:rPr>
          <w:rFonts w:hint="eastAsia" w:ascii="方正仿宋_GBK" w:hAnsi="方正仿宋_GBK" w:eastAsia="方正仿宋_GBK" w:cs="方正仿宋_GBK"/>
          <w:color w:val="auto"/>
          <w:kern w:val="0"/>
          <w:sz w:val="32"/>
          <w:szCs w:val="32"/>
          <w:lang w:val="en-US" w:eastAsia="zh-CN"/>
        </w:rPr>
        <w:t>元，年度最高限额</w:t>
      </w:r>
      <w:r>
        <w:rPr>
          <w:rFonts w:hint="eastAsia" w:ascii="Times New Roman" w:hAnsi="Times New Roman" w:eastAsia="方正仿宋_GBK" w:cs="Times New Roman"/>
          <w:color w:val="auto"/>
          <w:kern w:val="0"/>
          <w:sz w:val="32"/>
          <w:szCs w:val="32"/>
          <w:lang w:val="en-US" w:eastAsia="zh-CN"/>
        </w:rPr>
        <w:t>4500</w:t>
      </w:r>
      <w:r>
        <w:rPr>
          <w:rFonts w:hint="eastAsia" w:ascii="方正仿宋_GBK" w:hAnsi="方正仿宋_GBK" w:eastAsia="方正仿宋_GBK" w:cs="方正仿宋_GBK"/>
          <w:color w:val="auto"/>
          <w:kern w:val="0"/>
          <w:sz w:val="32"/>
          <w:szCs w:val="32"/>
          <w:lang w:val="en-US" w:eastAsia="zh-CN"/>
        </w:rPr>
        <w:t>元。</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strike w:val="0"/>
          <w:color w:val="auto"/>
          <w:kern w:val="0"/>
          <w:sz w:val="32"/>
          <w:szCs w:val="32"/>
          <w:lang w:val="en-US" w:eastAsia="zh-CN"/>
        </w:rPr>
      </w:pPr>
      <w:r>
        <w:rPr>
          <w:rFonts w:hint="eastAsia" w:ascii="方正楷体_GBK" w:hAnsi="方正楷体_GBK" w:eastAsia="方正楷体_GBK" w:cs="方正楷体_GBK"/>
          <w:color w:val="auto"/>
          <w:sz w:val="32"/>
          <w:szCs w:val="32"/>
          <w:lang w:val="en-US" w:eastAsia="zh-CN"/>
        </w:rPr>
        <w:t>（二）</w:t>
      </w:r>
      <w:r>
        <w:rPr>
          <w:rFonts w:hint="eastAsia" w:ascii="方正仿宋_GBK" w:hAnsi="方正仿宋_GBK" w:eastAsia="方正仿宋_GBK" w:cs="方正仿宋_GBK"/>
          <w:color w:val="auto"/>
          <w:kern w:val="0"/>
          <w:sz w:val="32"/>
          <w:szCs w:val="32"/>
          <w:lang w:val="en-US" w:eastAsia="zh-CN"/>
        </w:rPr>
        <w:t>特殊慢性病门诊参照同等条件下住院报销政策执行，一个参保年度内按就诊最高类别医疗机构计算一次起付线</w:t>
      </w:r>
      <w:r>
        <w:rPr>
          <w:rFonts w:hint="eastAsia" w:ascii="方正仿宋_GBK" w:hAnsi="方正仿宋_GBK" w:eastAsia="方正仿宋_GBK" w:cs="方正仿宋_GBK"/>
          <w:strike w:val="0"/>
          <w:dstrike w:val="0"/>
          <w:color w:val="auto"/>
          <w:kern w:val="0"/>
          <w:sz w:val="32"/>
          <w:szCs w:val="32"/>
          <w:lang w:val="en-US" w:eastAsia="zh-CN"/>
        </w:rPr>
        <w:t>。</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auto"/>
          <w:kern w:val="0"/>
          <w:sz w:val="32"/>
          <w:szCs w:val="32"/>
          <w:lang w:val="en-US" w:eastAsia="zh-CN"/>
        </w:rPr>
      </w:pPr>
      <w:r>
        <w:rPr>
          <w:rFonts w:hint="eastAsia" w:ascii="方正黑体_GBK" w:hAnsi="方正黑体_GBK" w:eastAsia="方正黑体_GBK" w:cs="方正黑体_GBK"/>
          <w:b w:val="0"/>
          <w:bCs w:val="0"/>
          <w:color w:val="auto"/>
          <w:kern w:val="0"/>
          <w:sz w:val="32"/>
          <w:szCs w:val="32"/>
          <w:lang w:val="en-US" w:eastAsia="zh-CN"/>
        </w:rPr>
        <w:t>第十三条</w:t>
      </w:r>
      <w:r>
        <w:rPr>
          <w:rFonts w:hint="eastAsia" w:ascii="方正仿宋_GBK" w:hAnsi="方正仿宋_GBK" w:eastAsia="方正仿宋_GBK" w:cs="方正仿宋_GBK"/>
          <w:color w:val="auto"/>
          <w:sz w:val="32"/>
          <w:szCs w:val="32"/>
          <w:shd w:val="clear" w:color="auto" w:fill="FFFFFF"/>
          <w:lang w:val="en-US" w:eastAsia="zh-CN"/>
        </w:rPr>
        <w:t xml:space="preserve"> </w:t>
      </w:r>
      <w:r>
        <w:rPr>
          <w:rFonts w:hint="eastAsia" w:ascii="方正仿宋_GBK" w:hAnsi="方正仿宋_GBK" w:eastAsia="方正仿宋_GBK" w:cs="方正仿宋_GBK"/>
          <w:color w:val="auto"/>
          <w:kern w:val="0"/>
          <w:sz w:val="32"/>
          <w:szCs w:val="32"/>
          <w:lang w:val="en-US" w:eastAsia="zh-CN"/>
        </w:rPr>
        <w:t>城镇职工医保</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auto"/>
          <w:kern w:val="0"/>
          <w:sz w:val="32"/>
          <w:szCs w:val="32"/>
          <w:lang w:val="en-US" w:eastAsia="zh-CN"/>
        </w:rPr>
      </w:pPr>
      <w:r>
        <w:rPr>
          <w:rFonts w:hint="eastAsia" w:ascii="方正楷体_GBK" w:hAnsi="方正楷体_GBK" w:eastAsia="方正楷体_GBK" w:cs="方正楷体_GBK"/>
          <w:color w:val="auto"/>
          <w:sz w:val="32"/>
          <w:szCs w:val="32"/>
          <w:lang w:val="en-US" w:eastAsia="zh-CN"/>
        </w:rPr>
        <w:t>（一）</w:t>
      </w:r>
      <w:r>
        <w:rPr>
          <w:rFonts w:hint="eastAsia" w:ascii="方正仿宋_GBK" w:hAnsi="方正仿宋_GBK" w:eastAsia="方正仿宋_GBK" w:cs="方正仿宋_GBK"/>
          <w:color w:val="auto"/>
          <w:kern w:val="0"/>
          <w:sz w:val="32"/>
          <w:szCs w:val="32"/>
          <w:lang w:val="en-US" w:eastAsia="zh-CN"/>
        </w:rPr>
        <w:t>城镇职工医保门诊慢特病年度起付线</w:t>
      </w:r>
      <w:r>
        <w:rPr>
          <w:rFonts w:hint="eastAsia" w:ascii="Times New Roman" w:hAnsi="Times New Roman" w:eastAsia="方正仿宋_GBK" w:cs="Times New Roman"/>
          <w:color w:val="auto"/>
          <w:kern w:val="0"/>
          <w:sz w:val="32"/>
          <w:szCs w:val="32"/>
          <w:lang w:val="en-US" w:eastAsia="zh-CN"/>
        </w:rPr>
        <w:t>1000</w:t>
      </w:r>
      <w:r>
        <w:rPr>
          <w:rFonts w:hint="eastAsia" w:ascii="方正仿宋_GBK" w:hAnsi="方正仿宋_GBK" w:eastAsia="方正仿宋_GBK" w:cs="方正仿宋_GBK"/>
          <w:color w:val="auto"/>
          <w:kern w:val="0"/>
          <w:sz w:val="32"/>
          <w:szCs w:val="32"/>
          <w:lang w:val="en-US" w:eastAsia="zh-CN"/>
        </w:rPr>
        <w:t>元。</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auto"/>
          <w:kern w:val="0"/>
          <w:sz w:val="32"/>
          <w:szCs w:val="32"/>
          <w:u w:val="none"/>
          <w:lang w:val="en-US" w:eastAsia="zh-CN"/>
        </w:rPr>
      </w:pPr>
      <w:r>
        <w:rPr>
          <w:rFonts w:hint="eastAsia" w:ascii="方正楷体_GBK" w:hAnsi="方正楷体_GBK" w:eastAsia="方正楷体_GBK" w:cs="方正楷体_GBK"/>
          <w:color w:val="auto"/>
          <w:sz w:val="32"/>
          <w:szCs w:val="32"/>
          <w:lang w:val="en-US" w:eastAsia="zh-CN"/>
        </w:rPr>
        <w:t>（二）</w:t>
      </w:r>
      <w:r>
        <w:rPr>
          <w:rFonts w:hint="eastAsia" w:ascii="方正仿宋_GBK" w:hAnsi="方正仿宋_GBK" w:eastAsia="方正仿宋_GBK" w:cs="方正仿宋_GBK"/>
          <w:color w:val="auto"/>
          <w:kern w:val="0"/>
          <w:sz w:val="32"/>
          <w:szCs w:val="32"/>
          <w:lang w:val="en-US" w:eastAsia="zh-CN"/>
        </w:rPr>
        <w:t>普通慢性病按不同病种实行不同的限额管理（附件</w:t>
      </w:r>
      <w:r>
        <w:rPr>
          <w:rFonts w:hint="eastAsia" w:ascii="Times New Roman" w:hAnsi="Times New Roman" w:eastAsia="方正仿宋_GBK" w:cs="Times New Roman"/>
          <w:color w:val="auto"/>
          <w:kern w:val="0"/>
          <w:sz w:val="32"/>
          <w:szCs w:val="32"/>
          <w:lang w:val="en-US" w:eastAsia="zh-CN"/>
        </w:rPr>
        <w:t>4</w:t>
      </w:r>
      <w:r>
        <w:rPr>
          <w:rFonts w:hint="eastAsia" w:ascii="方正仿宋_GBK" w:hAnsi="方正仿宋_GBK" w:eastAsia="方正仿宋_GBK" w:cs="方正仿宋_GBK"/>
          <w:color w:val="auto"/>
          <w:kern w:val="0"/>
          <w:sz w:val="32"/>
          <w:szCs w:val="32"/>
          <w:lang w:val="en-US" w:eastAsia="zh-CN"/>
        </w:rPr>
        <w:t>）。起付线以上，限额以内的符合医保政策范围内的医疗费用按同等条</w:t>
      </w:r>
      <w:r>
        <w:rPr>
          <w:rFonts w:hint="eastAsia" w:ascii="方正仿宋_GBK" w:hAnsi="方正仿宋_GBK" w:eastAsia="方正仿宋_GBK" w:cs="方正仿宋_GBK"/>
          <w:color w:val="auto"/>
          <w:kern w:val="0"/>
          <w:sz w:val="32"/>
          <w:szCs w:val="32"/>
          <w:u w:val="none"/>
          <w:lang w:val="en-US" w:eastAsia="zh-CN"/>
        </w:rPr>
        <w:t>件下住院比例报销。同时患有多种普通慢性病的，以支付限额最高的病种为基础，每增加一个病种，按照该病种支付限额的</w:t>
      </w:r>
      <w:r>
        <w:rPr>
          <w:rFonts w:hint="eastAsia" w:ascii="Times New Roman" w:hAnsi="Times New Roman" w:eastAsia="方正仿宋_GBK" w:cs="Times New Roman"/>
          <w:color w:val="auto"/>
          <w:kern w:val="0"/>
          <w:sz w:val="32"/>
          <w:szCs w:val="32"/>
          <w:lang w:val="en-US" w:eastAsia="zh-CN"/>
        </w:rPr>
        <w:t>50%</w:t>
      </w:r>
      <w:r>
        <w:rPr>
          <w:rFonts w:hint="eastAsia" w:ascii="方正仿宋_GBK" w:hAnsi="方正仿宋_GBK" w:eastAsia="方正仿宋_GBK" w:cs="方正仿宋_GBK"/>
          <w:color w:val="auto"/>
          <w:kern w:val="0"/>
          <w:sz w:val="32"/>
          <w:szCs w:val="32"/>
          <w:u w:val="none"/>
          <w:lang w:val="en-US" w:eastAsia="zh-CN"/>
        </w:rPr>
        <w:t>比例增加，累计不超过增加病种中最高病种限额。</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auto"/>
          <w:kern w:val="0"/>
          <w:sz w:val="32"/>
          <w:szCs w:val="32"/>
          <w:lang w:val="en-US" w:eastAsia="zh-CN"/>
        </w:rPr>
      </w:pPr>
      <w:r>
        <w:rPr>
          <w:rFonts w:hint="eastAsia" w:ascii="方正楷体_GBK" w:hAnsi="方正楷体_GBK" w:eastAsia="方正楷体_GBK" w:cs="方正楷体_GBK"/>
          <w:color w:val="auto"/>
          <w:sz w:val="32"/>
          <w:szCs w:val="32"/>
          <w:lang w:val="en-US" w:eastAsia="zh-CN"/>
        </w:rPr>
        <w:t>（三）</w:t>
      </w:r>
      <w:r>
        <w:rPr>
          <w:rFonts w:hint="eastAsia" w:ascii="方正仿宋_GBK" w:hAnsi="方正仿宋_GBK" w:eastAsia="方正仿宋_GBK" w:cs="方正仿宋_GBK"/>
          <w:color w:val="auto"/>
          <w:kern w:val="0"/>
          <w:sz w:val="32"/>
          <w:szCs w:val="32"/>
          <w:lang w:val="en-US" w:eastAsia="zh-CN"/>
        </w:rPr>
        <w:t>特殊慢性病扣除年度起付线后，按同等条件下住院比例报销。</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b/>
          <w:bCs/>
          <w:color w:val="auto"/>
          <w:sz w:val="32"/>
          <w:szCs w:val="32"/>
          <w:lang w:val="en-US" w:eastAsia="zh-CN"/>
        </w:rPr>
      </w:pPr>
      <w:r>
        <w:rPr>
          <w:rFonts w:hint="eastAsia" w:ascii="方正黑体_GBK" w:hAnsi="方正黑体_GBK" w:eastAsia="方正黑体_GBK" w:cs="方正黑体_GBK"/>
          <w:b w:val="0"/>
          <w:bCs w:val="0"/>
          <w:color w:val="auto"/>
          <w:kern w:val="0"/>
          <w:sz w:val="32"/>
          <w:szCs w:val="32"/>
          <w:lang w:val="en-US" w:eastAsia="zh-CN"/>
        </w:rPr>
        <w:t>第十四条</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color w:val="auto"/>
          <w:kern w:val="0"/>
          <w:sz w:val="32"/>
          <w:szCs w:val="32"/>
          <w:lang w:val="en-US" w:eastAsia="zh-CN"/>
        </w:rPr>
        <w:t>基本医保门诊慢特病年度支付限额纳入基本医疗保险年度最高限额内管理。</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textAlignment w:val="auto"/>
        <w:rPr>
          <w:rFonts w:hint="eastAsia" w:ascii="方正仿宋_GBK" w:hAnsi="方正仿宋_GBK" w:eastAsia="方正仿宋_GBK" w:cs="方正仿宋_GBK"/>
          <w:color w:val="auto"/>
          <w:kern w:val="0"/>
          <w:sz w:val="32"/>
          <w:szCs w:val="32"/>
          <w:lang w:val="en-US" w:eastAsia="zh-CN"/>
        </w:rPr>
      </w:pPr>
      <w:r>
        <w:rPr>
          <w:rFonts w:hint="eastAsia" w:ascii="方正黑体_GBK" w:hAnsi="方正黑体_GBK" w:eastAsia="方正黑体_GBK" w:cs="方正黑体_GBK"/>
          <w:b w:val="0"/>
          <w:bCs w:val="0"/>
          <w:color w:val="auto"/>
          <w:kern w:val="0"/>
          <w:sz w:val="32"/>
          <w:szCs w:val="32"/>
          <w:lang w:val="en-US" w:eastAsia="zh-CN"/>
        </w:rPr>
        <w:t>第十五条</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color w:val="auto"/>
          <w:kern w:val="0"/>
          <w:sz w:val="32"/>
          <w:szCs w:val="32"/>
          <w:lang w:val="en-US" w:eastAsia="zh-CN"/>
        </w:rPr>
        <w:t>参保人员参保类别发生变化，门诊慢特病可直接变更到新参保类别，起付线和报销比例按新参保类别重新计算。</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auto"/>
          <w:kern w:val="0"/>
          <w:sz w:val="32"/>
          <w:szCs w:val="32"/>
          <w:u w:val="none"/>
          <w:lang w:val="en-US" w:eastAsia="zh-CN"/>
        </w:rPr>
      </w:pPr>
      <w:r>
        <w:rPr>
          <w:rFonts w:hint="eastAsia" w:ascii="方正黑体_GBK" w:hAnsi="方正黑体_GBK" w:eastAsia="方正黑体_GBK" w:cs="方正黑体_GBK"/>
          <w:b w:val="0"/>
          <w:bCs w:val="0"/>
          <w:color w:val="auto"/>
          <w:kern w:val="0"/>
          <w:sz w:val="32"/>
          <w:szCs w:val="32"/>
          <w:lang w:val="en-US" w:eastAsia="zh-CN"/>
        </w:rPr>
        <w:t>第十六条</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color w:val="auto"/>
          <w:kern w:val="0"/>
          <w:sz w:val="32"/>
          <w:szCs w:val="32"/>
          <w:u w:val="none"/>
          <w:lang w:val="en-US" w:eastAsia="zh-CN"/>
        </w:rPr>
        <w:t>参保人员在本市内选定的定点医药机构享受门诊慢特病待遇需直接结算，原则上未直接结算的不享受门诊慢特病待遇；因急诊或选定医疗机构不具备诊疗能力等实际情况，确须在市内非参保人选定的定点医疗机构发生的符合门诊慢特病支付范围的费用，职工医保参照个人自行转外予以报销，居民医保参照未办理转诊手续的予以报销。</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auto"/>
          <w:kern w:val="0"/>
          <w:sz w:val="32"/>
          <w:szCs w:val="32"/>
          <w:lang w:val="en-US" w:eastAsia="zh-CN"/>
        </w:rPr>
      </w:pPr>
      <w:r>
        <w:rPr>
          <w:rFonts w:hint="eastAsia" w:ascii="方正黑体_GBK" w:hAnsi="方正黑体_GBK" w:eastAsia="方正黑体_GBK" w:cs="方正黑体_GBK"/>
          <w:b w:val="0"/>
          <w:bCs w:val="0"/>
          <w:color w:val="auto"/>
          <w:kern w:val="0"/>
          <w:sz w:val="32"/>
          <w:szCs w:val="32"/>
          <w:lang w:val="en-US" w:eastAsia="zh-CN"/>
        </w:rPr>
        <w:t>第十七条</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kern w:val="0"/>
          <w:sz w:val="32"/>
          <w:szCs w:val="32"/>
          <w:lang w:val="en-US" w:eastAsia="zh-CN"/>
        </w:rPr>
        <w:t>异地安置（转外就医）参保门诊慢特病患者在选定的就医地定点医疗机构门诊就医，定点医疗机构无法满足其用药需求的情形下，可凭定点医疗机构出具的外配处方，前往就医地“双通道”药店购买国谈药（城乡居民参保患者仅限购买抗癌谈判药），医保支付价格执行国家规定的国谈药价格。</w:t>
      </w:r>
      <w:r>
        <w:rPr>
          <w:rFonts w:hint="eastAsia" w:ascii="方正仿宋_GBK" w:hAnsi="方正仿宋_GBK" w:eastAsia="方正仿宋_GBK" w:cs="方正仿宋_GBK"/>
          <w:color w:val="auto"/>
          <w:sz w:val="32"/>
          <w:szCs w:val="32"/>
          <w:lang w:val="en-US" w:eastAsia="zh-CN"/>
        </w:rPr>
        <w:t>参保患者凭选定的定点医疗机构医保办盖章的外配处方原件、药房盖章的记载有用药方案的病历或出院小结、明细清单、有效购药发票等相关材料回参保地经办机构报销。</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textAlignment w:val="auto"/>
        <w:rPr>
          <w:rFonts w:hint="eastAsia" w:ascii="方正仿宋_GBK" w:hAnsi="方正仿宋_GBK" w:eastAsia="方正仿宋_GBK" w:cs="方正仿宋_GBK"/>
          <w:color w:val="auto"/>
          <w:kern w:val="0"/>
          <w:sz w:val="32"/>
          <w:szCs w:val="32"/>
          <w:lang w:val="en-US" w:eastAsia="zh-CN"/>
        </w:rPr>
      </w:pPr>
      <w:r>
        <w:rPr>
          <w:rFonts w:hint="eastAsia" w:ascii="方正黑体_GBK" w:hAnsi="方正黑体_GBK" w:eastAsia="方正黑体_GBK" w:cs="方正黑体_GBK"/>
          <w:b w:val="0"/>
          <w:bCs w:val="0"/>
          <w:color w:val="auto"/>
          <w:kern w:val="0"/>
          <w:sz w:val="32"/>
          <w:szCs w:val="32"/>
          <w:lang w:val="en-US" w:eastAsia="zh-CN"/>
        </w:rPr>
        <w:t>第十八条</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color w:val="auto"/>
          <w:kern w:val="0"/>
          <w:sz w:val="32"/>
          <w:szCs w:val="32"/>
          <w:lang w:val="en-US" w:eastAsia="zh-CN"/>
        </w:rPr>
        <w:t>基本医保门诊慢特病患者在选定的慢特病定点零售药店购药的，原则上按照开具门诊处方的医疗机构等级执行。</w:t>
      </w:r>
    </w:p>
    <w:p>
      <w:pPr>
        <w:keepNext w:val="0"/>
        <w:keepLines w:val="0"/>
        <w:pageBreakBefore w:val="0"/>
        <w:kinsoku/>
        <w:wordWrap/>
        <w:overflowPunct/>
        <w:topLinePunct w:val="0"/>
        <w:autoSpaceDE/>
        <w:autoSpaceDN/>
        <w:bidi w:val="0"/>
        <w:adjustRightInd/>
        <w:snapToGrid/>
        <w:spacing w:line="590" w:lineRule="exact"/>
        <w:jc w:val="center"/>
        <w:textAlignment w:val="auto"/>
        <w:rPr>
          <w:rFonts w:hint="eastAsia" w:ascii="黑体" w:hAnsi="黑体" w:eastAsia="黑体"/>
          <w:sz w:val="32"/>
          <w:szCs w:val="32"/>
        </w:rPr>
      </w:pPr>
    </w:p>
    <w:p>
      <w:pPr>
        <w:keepNext w:val="0"/>
        <w:keepLines w:val="0"/>
        <w:pageBreakBefore w:val="0"/>
        <w:kinsoku/>
        <w:wordWrap/>
        <w:overflowPunct/>
        <w:topLinePunct w:val="0"/>
        <w:autoSpaceDE/>
        <w:autoSpaceDN/>
        <w:bidi w:val="0"/>
        <w:adjustRightInd/>
        <w:snapToGrid/>
        <w:spacing w:line="590" w:lineRule="exact"/>
        <w:jc w:val="center"/>
        <w:textAlignment w:val="auto"/>
        <w:rPr>
          <w:rFonts w:hint="eastAsia" w:ascii="黑体" w:hAnsi="黑体" w:eastAsia="黑体"/>
          <w:sz w:val="32"/>
          <w:szCs w:val="32"/>
        </w:rPr>
      </w:pPr>
      <w:r>
        <w:rPr>
          <w:rFonts w:hint="eastAsia" w:ascii="方正黑体_GBK" w:hAnsi="方正黑体_GBK" w:eastAsia="方正黑体_GBK" w:cs="方正黑体_GBK"/>
          <w:b w:val="0"/>
          <w:bCs w:val="0"/>
          <w:color w:val="auto"/>
          <w:sz w:val="32"/>
          <w:szCs w:val="32"/>
          <w:lang w:val="en-US" w:eastAsia="zh-CN"/>
        </w:rPr>
        <w:t>第六章  门诊慢特病基金支付</w:t>
      </w:r>
    </w:p>
    <w:p>
      <w:pPr>
        <w:numPr>
          <w:ilvl w:val="0"/>
          <w:numId w:val="0"/>
        </w:numPr>
        <w:jc w:val="center"/>
        <w:rPr>
          <w:rFonts w:hint="eastAsia" w:ascii="方正黑体_GBK" w:hAnsi="方正黑体_GBK" w:eastAsia="方正黑体_GBK" w:cs="方正黑体_GBK"/>
          <w:b w:val="0"/>
          <w:bCs w:val="0"/>
          <w:color w:val="auto"/>
          <w:sz w:val="32"/>
          <w:szCs w:val="32"/>
          <w:lang w:val="en-US" w:eastAsia="zh-CN"/>
        </w:rPr>
      </w:pPr>
    </w:p>
    <w:p>
      <w:pPr>
        <w:widowControl/>
        <w:ind w:firstLine="640" w:firstLineChars="200"/>
        <w:rPr>
          <w:rFonts w:hint="eastAsia" w:ascii="方正仿宋_GBK" w:hAnsi="方正仿宋_GBK" w:eastAsia="方正仿宋_GBK" w:cs="方正仿宋_GBK"/>
          <w:color w:val="auto"/>
          <w:kern w:val="0"/>
          <w:sz w:val="32"/>
          <w:szCs w:val="32"/>
          <w:lang w:val="en-US" w:eastAsia="zh-CN"/>
        </w:rPr>
      </w:pPr>
      <w:r>
        <w:rPr>
          <w:rFonts w:hint="eastAsia" w:ascii="方正黑体_GBK" w:hAnsi="方正黑体_GBK" w:eastAsia="方正黑体_GBK" w:cs="方正黑体_GBK"/>
          <w:b w:val="0"/>
          <w:bCs w:val="0"/>
          <w:color w:val="auto"/>
          <w:kern w:val="0"/>
          <w:sz w:val="32"/>
          <w:szCs w:val="32"/>
          <w:lang w:val="en-US" w:eastAsia="zh-CN"/>
        </w:rPr>
        <w:t>第十九条</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kern w:val="0"/>
          <w:sz w:val="32"/>
          <w:szCs w:val="32"/>
          <w:lang w:val="en-US" w:eastAsia="zh-CN"/>
        </w:rPr>
        <w:t>门诊慢特病患者医保报销实行按项目付费。在定点医疗机构直接结算的，其医疗费用由医保基金支付部分由定点医疗机构垫付，参保人员就医结束后由定点医疗机构与医保经办机构进行结算；前往经办窗口报销的，医保经办机构按规定时间完成审核并拨付报销金额。</w:t>
      </w:r>
    </w:p>
    <w:p>
      <w:pPr>
        <w:widowControl/>
        <w:ind w:firstLine="640" w:firstLineChars="200"/>
        <w:rPr>
          <w:rFonts w:hint="eastAsia" w:ascii="方正仿宋_GBK" w:hAnsi="方正仿宋_GBK" w:eastAsia="方正仿宋_GBK" w:cs="方正仿宋_GBK"/>
          <w:color w:val="auto"/>
          <w:kern w:val="0"/>
          <w:sz w:val="32"/>
          <w:szCs w:val="32"/>
          <w:lang w:val="en-US" w:eastAsia="zh-CN"/>
        </w:rPr>
      </w:pPr>
      <w:r>
        <w:rPr>
          <w:rFonts w:hint="eastAsia" w:ascii="方正黑体_GBK" w:hAnsi="方正黑体_GBK" w:eastAsia="方正黑体_GBK" w:cs="方正黑体_GBK"/>
          <w:b w:val="0"/>
          <w:bCs w:val="0"/>
          <w:color w:val="auto"/>
          <w:kern w:val="0"/>
          <w:sz w:val="32"/>
          <w:szCs w:val="32"/>
          <w:lang w:val="en-US" w:eastAsia="zh-CN"/>
        </w:rPr>
        <w:t>第二十条</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color w:val="auto"/>
          <w:kern w:val="0"/>
          <w:sz w:val="32"/>
          <w:szCs w:val="32"/>
          <w:lang w:val="en-US" w:eastAsia="zh-CN"/>
        </w:rPr>
        <w:t>门诊慢特病执行全省统一的慢特病用药目录，慢特病门诊用药、与病种相关必需的治疗、检查和材料等费用，按规定纳入医保支付范围。超用药目录、与该病种无关的治疗、检查和材料费用，基本医保基金不予支付。</w:t>
      </w:r>
    </w:p>
    <w:p>
      <w:pPr>
        <w:widowControl/>
        <w:ind w:firstLine="640" w:firstLineChars="200"/>
        <w:rPr>
          <w:rFonts w:hint="eastAsia" w:ascii="方正仿宋_GBK" w:hAnsi="方正仿宋_GBK" w:eastAsia="方正仿宋_GBK" w:cs="方正仿宋_GBK"/>
          <w:color w:val="auto"/>
          <w:kern w:val="0"/>
          <w:sz w:val="32"/>
          <w:szCs w:val="32"/>
          <w:lang w:val="en-US" w:eastAsia="zh-CN"/>
        </w:rPr>
      </w:pPr>
      <w:r>
        <w:rPr>
          <w:rFonts w:hint="eastAsia" w:ascii="方正黑体_GBK" w:hAnsi="方正黑体_GBK" w:eastAsia="方正黑体_GBK" w:cs="方正黑体_GBK"/>
          <w:b w:val="0"/>
          <w:bCs w:val="0"/>
          <w:color w:val="auto"/>
          <w:kern w:val="0"/>
          <w:sz w:val="32"/>
          <w:szCs w:val="32"/>
          <w:lang w:val="en-US" w:eastAsia="zh-CN"/>
        </w:rPr>
        <w:t>第二十一条</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color w:val="auto"/>
          <w:kern w:val="0"/>
          <w:sz w:val="32"/>
          <w:szCs w:val="32"/>
          <w:lang w:val="en-US" w:eastAsia="zh-CN"/>
        </w:rPr>
        <w:t>参保人员因病情变化住院治疗的，不得重复享受住院和门诊慢特病医保待遇。</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textAlignment w:val="auto"/>
        <w:rPr>
          <w:rFonts w:hint="eastAsia" w:ascii="方正仿宋_GBK" w:hAnsi="方正仿宋_GBK" w:eastAsia="方正仿宋_GBK" w:cs="方正仿宋_GBK"/>
          <w:color w:val="auto"/>
          <w:kern w:val="0"/>
          <w:sz w:val="32"/>
          <w:szCs w:val="32"/>
          <w:lang w:val="en-US" w:eastAsia="zh-CN"/>
        </w:rPr>
      </w:pPr>
      <w:r>
        <w:rPr>
          <w:rFonts w:hint="eastAsia" w:ascii="方正黑体_GBK" w:hAnsi="方正黑体_GBK" w:eastAsia="方正黑体_GBK" w:cs="方正黑体_GBK"/>
          <w:b w:val="0"/>
          <w:bCs w:val="0"/>
          <w:color w:val="auto"/>
          <w:kern w:val="0"/>
          <w:sz w:val="32"/>
          <w:szCs w:val="32"/>
          <w:lang w:val="en-US" w:eastAsia="zh-CN"/>
        </w:rPr>
        <w:t>第二十二条</w:t>
      </w:r>
      <w:r>
        <w:rPr>
          <w:rFonts w:hint="eastAsia" w:ascii="方正仿宋_GBK" w:hAnsi="方正仿宋_GBK" w:eastAsia="方正仿宋_GBK" w:cs="方正仿宋_GBK"/>
          <w:b/>
          <w:bCs/>
          <w:color w:val="auto"/>
          <w:sz w:val="32"/>
          <w:szCs w:val="32"/>
          <w:lang w:val="en-US" w:eastAsia="zh-CN"/>
        </w:rPr>
        <w:t xml:space="preserve"> </w:t>
      </w:r>
      <w:r>
        <w:rPr>
          <w:rFonts w:hint="eastAsia" w:ascii="方正仿宋_GBK" w:hAnsi="方正仿宋_GBK" w:eastAsia="方正仿宋_GBK" w:cs="方正仿宋_GBK"/>
          <w:color w:val="auto"/>
          <w:kern w:val="0"/>
          <w:sz w:val="32"/>
          <w:szCs w:val="32"/>
          <w:lang w:val="en-US" w:eastAsia="zh-CN"/>
        </w:rPr>
        <w:t>在本统筹区内实行定点就医的基本医保慢性肾衰竭（尿毒症期）门诊慢性病患者及城镇职工医保器官移植术后抗排异治疗门诊慢性病患者的基金支付，按现行年度人均定额包干政策执行，逐步稳妥扩大特殊慢性病医保基金年度人均定额包干</w:t>
      </w:r>
      <w:r>
        <w:rPr>
          <w:rFonts w:hint="eastAsia" w:ascii="方正仿宋_GBK" w:hAnsi="方正仿宋_GBK" w:eastAsia="方正仿宋_GBK" w:cs="方正仿宋_GBK"/>
          <w:color w:val="auto"/>
          <w:kern w:val="0"/>
          <w:sz w:val="32"/>
          <w:szCs w:val="32"/>
          <w:u w:val="none"/>
          <w:lang w:val="en-US" w:eastAsia="zh-CN"/>
        </w:rPr>
        <w:t>结算的病种覆盖范围</w:t>
      </w:r>
      <w:r>
        <w:rPr>
          <w:rFonts w:hint="eastAsia" w:ascii="方正仿宋_GBK" w:hAnsi="方正仿宋_GBK" w:eastAsia="方正仿宋_GBK" w:cs="方正仿宋_GBK"/>
          <w:color w:val="auto"/>
          <w:kern w:val="0"/>
          <w:sz w:val="32"/>
          <w:szCs w:val="32"/>
          <w:lang w:val="en-US" w:eastAsia="zh-CN"/>
        </w:rPr>
        <w:t>。</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textAlignment w:val="auto"/>
        <w:rPr>
          <w:rFonts w:hint="eastAsia" w:ascii="方正仿宋_GBK" w:hAnsi="方正仿宋_GBK" w:eastAsia="方正仿宋_GBK" w:cs="方正仿宋_GBK"/>
          <w:color w:val="auto"/>
          <w:kern w:val="0"/>
          <w:sz w:val="32"/>
          <w:szCs w:val="32"/>
          <w:lang w:val="en-US" w:eastAsia="zh-CN"/>
        </w:rPr>
      </w:pPr>
      <w:r>
        <w:rPr>
          <w:rFonts w:hint="eastAsia" w:ascii="方正黑体_GBK" w:hAnsi="方正黑体_GBK" w:eastAsia="方正黑体_GBK" w:cs="方正黑体_GBK"/>
          <w:b w:val="0"/>
          <w:bCs w:val="0"/>
          <w:color w:val="auto"/>
          <w:kern w:val="0"/>
          <w:sz w:val="32"/>
          <w:szCs w:val="32"/>
          <w:lang w:val="en-US" w:eastAsia="zh-CN"/>
        </w:rPr>
        <w:t>第二十三条</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kern w:val="0"/>
          <w:sz w:val="32"/>
          <w:szCs w:val="32"/>
          <w:lang w:val="en-US" w:eastAsia="zh-CN"/>
        </w:rPr>
        <w:t>对高血压、糖尿病等病情稳定并需要长期服用固定药物的门诊慢特病，一次处方药量可在遵循医嘱的条件下延长至</w:t>
      </w:r>
      <w:r>
        <w:rPr>
          <w:rFonts w:hint="eastAsia" w:ascii="Times New Roman" w:hAnsi="Times New Roman" w:eastAsia="方正仿宋_GBK" w:cs="Times New Roman"/>
          <w:color w:val="auto"/>
          <w:kern w:val="0"/>
          <w:sz w:val="32"/>
          <w:szCs w:val="32"/>
          <w:lang w:val="en-US" w:eastAsia="zh-CN"/>
        </w:rPr>
        <w:t>3</w:t>
      </w:r>
      <w:r>
        <w:rPr>
          <w:rFonts w:hint="eastAsia" w:ascii="方正仿宋_GBK" w:hAnsi="方正仿宋_GBK" w:eastAsia="方正仿宋_GBK" w:cs="方正仿宋_GBK"/>
          <w:color w:val="auto"/>
          <w:kern w:val="0"/>
          <w:sz w:val="32"/>
          <w:szCs w:val="32"/>
          <w:lang w:val="en-US" w:eastAsia="zh-CN"/>
        </w:rPr>
        <w:t>个月，医保可实行按长期处方结算。</w:t>
      </w:r>
    </w:p>
    <w:p>
      <w:pPr>
        <w:keepNext w:val="0"/>
        <w:keepLines w:val="0"/>
        <w:pageBreakBefore w:val="0"/>
        <w:kinsoku/>
        <w:wordWrap/>
        <w:overflowPunct/>
        <w:topLinePunct w:val="0"/>
        <w:autoSpaceDE/>
        <w:autoSpaceDN/>
        <w:bidi w:val="0"/>
        <w:adjustRightInd/>
        <w:snapToGrid/>
        <w:spacing w:line="590" w:lineRule="exact"/>
        <w:jc w:val="center"/>
        <w:textAlignment w:val="auto"/>
        <w:rPr>
          <w:rFonts w:hint="eastAsia" w:ascii="黑体" w:hAnsi="黑体" w:eastAsia="黑体"/>
          <w:sz w:val="32"/>
          <w:szCs w:val="32"/>
        </w:rPr>
      </w:pPr>
    </w:p>
    <w:p>
      <w:pPr>
        <w:keepNext w:val="0"/>
        <w:keepLines w:val="0"/>
        <w:pageBreakBefore w:val="0"/>
        <w:kinsoku/>
        <w:wordWrap/>
        <w:overflowPunct/>
        <w:topLinePunct w:val="0"/>
        <w:autoSpaceDE/>
        <w:autoSpaceDN/>
        <w:bidi w:val="0"/>
        <w:adjustRightInd/>
        <w:snapToGrid/>
        <w:spacing w:line="590" w:lineRule="exact"/>
        <w:jc w:val="center"/>
        <w:textAlignment w:val="auto"/>
        <w:rPr>
          <w:rFonts w:hint="eastAsia" w:ascii="黑体" w:hAnsi="黑体" w:eastAsia="黑体"/>
          <w:sz w:val="32"/>
          <w:szCs w:val="32"/>
        </w:rPr>
      </w:pPr>
      <w:r>
        <w:rPr>
          <w:rFonts w:hint="eastAsia" w:ascii="方正黑体_GBK" w:hAnsi="方正黑体_GBK" w:eastAsia="方正黑体_GBK" w:cs="方正黑体_GBK"/>
          <w:b w:val="0"/>
          <w:bCs w:val="0"/>
          <w:color w:val="auto"/>
          <w:sz w:val="32"/>
          <w:szCs w:val="32"/>
          <w:lang w:val="en-US" w:eastAsia="zh-CN"/>
        </w:rPr>
        <w:t>第七章  门诊慢特病经办管理</w:t>
      </w:r>
    </w:p>
    <w:p>
      <w:pPr>
        <w:numPr>
          <w:ilvl w:val="0"/>
          <w:numId w:val="0"/>
        </w:numPr>
        <w:jc w:val="center"/>
        <w:rPr>
          <w:rFonts w:hint="eastAsia" w:ascii="方正黑体_GBK" w:hAnsi="方正黑体_GBK" w:eastAsia="方正黑体_GBK" w:cs="方正黑体_GBK"/>
          <w:b w:val="0"/>
          <w:bCs w:val="0"/>
          <w:color w:val="auto"/>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auto"/>
          <w:kern w:val="0"/>
          <w:sz w:val="32"/>
          <w:szCs w:val="32"/>
          <w:lang w:val="en-US" w:eastAsia="zh-CN"/>
        </w:rPr>
      </w:pPr>
      <w:r>
        <w:rPr>
          <w:rFonts w:hint="eastAsia" w:ascii="方正黑体_GBK" w:hAnsi="方正黑体_GBK" w:eastAsia="方正黑体_GBK" w:cs="方正黑体_GBK"/>
          <w:b w:val="0"/>
          <w:bCs w:val="0"/>
          <w:color w:val="auto"/>
          <w:kern w:val="0"/>
          <w:sz w:val="32"/>
          <w:szCs w:val="32"/>
          <w:lang w:val="en-US" w:eastAsia="zh-CN"/>
        </w:rPr>
        <w:t>第二十四条</w:t>
      </w:r>
      <w:r>
        <w:rPr>
          <w:rFonts w:hint="eastAsia" w:ascii="方正仿宋_GBK" w:hAnsi="方正仿宋_GBK" w:eastAsia="方正仿宋_GBK" w:cs="方正仿宋_GBK"/>
          <w:b/>
          <w:bCs/>
          <w:color w:val="auto"/>
          <w:kern w:val="0"/>
          <w:sz w:val="32"/>
          <w:szCs w:val="32"/>
          <w:lang w:val="en-US" w:eastAsia="zh-CN"/>
        </w:rPr>
        <w:t xml:space="preserve"> </w:t>
      </w:r>
      <w:r>
        <w:rPr>
          <w:rFonts w:hint="eastAsia" w:ascii="方正仿宋_GBK" w:hAnsi="方正仿宋_GBK" w:eastAsia="方正仿宋_GBK" w:cs="方正仿宋_GBK"/>
          <w:color w:val="auto"/>
          <w:kern w:val="0"/>
          <w:sz w:val="32"/>
          <w:szCs w:val="32"/>
          <w:lang w:val="en-US" w:eastAsia="zh-CN"/>
        </w:rPr>
        <w:t>定点医疗机构应选定若干名副主任以上医师，组成院内门诊慢特病认定专家组（对县、区级医疗机构可放宽至主治医师），对该院受理的门诊慢特病申报材料进行审定，并定期组织复查。</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auto"/>
          <w:kern w:val="0"/>
          <w:sz w:val="32"/>
          <w:szCs w:val="32"/>
          <w:lang w:val="en-US" w:eastAsia="zh-CN"/>
        </w:rPr>
      </w:pPr>
      <w:r>
        <w:rPr>
          <w:rFonts w:hint="eastAsia" w:ascii="方正黑体_GBK" w:hAnsi="方正黑体_GBK" w:eastAsia="方正黑体_GBK" w:cs="方正黑体_GBK"/>
          <w:b w:val="0"/>
          <w:bCs w:val="0"/>
          <w:color w:val="auto"/>
          <w:kern w:val="0"/>
          <w:sz w:val="32"/>
          <w:szCs w:val="32"/>
          <w:lang w:val="en-US" w:eastAsia="zh-CN"/>
        </w:rPr>
        <w:t>第二十五条</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kern w:val="0"/>
          <w:sz w:val="32"/>
          <w:szCs w:val="32"/>
          <w:lang w:val="en-US" w:eastAsia="zh-CN"/>
        </w:rPr>
        <w:t>定点医疗机构受理参保人员门诊慢性病申请后，应及时组织院内门诊慢特病认定专家组，按照医保有关门诊慢特病准入标准，在</w:t>
      </w:r>
      <w:r>
        <w:rPr>
          <w:rFonts w:hint="eastAsia" w:ascii="Times New Roman" w:hAnsi="Times New Roman" w:eastAsia="方正仿宋_GBK" w:cs="Times New Roman"/>
          <w:color w:val="auto"/>
          <w:kern w:val="0"/>
          <w:sz w:val="32"/>
          <w:szCs w:val="32"/>
          <w:lang w:val="en-US" w:eastAsia="zh-CN"/>
        </w:rPr>
        <w:t>20</w:t>
      </w:r>
      <w:r>
        <w:rPr>
          <w:rFonts w:hint="eastAsia" w:ascii="方正仿宋_GBK" w:hAnsi="方正仿宋_GBK" w:eastAsia="方正仿宋_GBK" w:cs="方正仿宋_GBK"/>
          <w:color w:val="auto"/>
          <w:kern w:val="0"/>
          <w:sz w:val="32"/>
          <w:szCs w:val="32"/>
          <w:lang w:val="en-US" w:eastAsia="zh-CN"/>
        </w:rPr>
        <w:t>个工作日内完成审核认定，并保存申报材料备查。</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auto"/>
          <w:kern w:val="0"/>
          <w:sz w:val="32"/>
          <w:szCs w:val="32"/>
          <w:lang w:val="en-US" w:eastAsia="zh-CN"/>
        </w:rPr>
      </w:pPr>
      <w:r>
        <w:rPr>
          <w:rFonts w:hint="eastAsia" w:ascii="方正黑体_GBK" w:hAnsi="方正黑体_GBK" w:eastAsia="方正黑体_GBK" w:cs="方正黑体_GBK"/>
          <w:b w:val="0"/>
          <w:bCs w:val="0"/>
          <w:color w:val="auto"/>
          <w:kern w:val="0"/>
          <w:sz w:val="32"/>
          <w:szCs w:val="32"/>
          <w:lang w:val="en-US" w:eastAsia="zh-CN"/>
        </w:rPr>
        <w:t>第二十六条</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kern w:val="0"/>
          <w:sz w:val="32"/>
          <w:szCs w:val="32"/>
          <w:lang w:val="en-US" w:eastAsia="zh-CN"/>
        </w:rPr>
        <w:t>门诊慢特病实行动态准入退出机制。</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auto"/>
          <w:kern w:val="0"/>
          <w:sz w:val="32"/>
          <w:szCs w:val="32"/>
          <w:lang w:val="en-US" w:eastAsia="zh-CN"/>
        </w:rPr>
      </w:pPr>
      <w:r>
        <w:rPr>
          <w:rFonts w:hint="eastAsia" w:ascii="方正楷体_GBK" w:hAnsi="方正楷体_GBK" w:eastAsia="方正楷体_GBK" w:cs="方正楷体_GBK"/>
          <w:color w:val="auto"/>
          <w:sz w:val="32"/>
          <w:szCs w:val="32"/>
          <w:lang w:val="en-US" w:eastAsia="zh-CN"/>
        </w:rPr>
        <w:t>（一）</w:t>
      </w:r>
      <w:r>
        <w:rPr>
          <w:rFonts w:hint="eastAsia" w:ascii="方正仿宋_GBK" w:hAnsi="方正仿宋_GBK" w:eastAsia="方正仿宋_GBK" w:cs="方正仿宋_GBK"/>
          <w:color w:val="auto"/>
          <w:kern w:val="0"/>
          <w:sz w:val="32"/>
          <w:szCs w:val="32"/>
          <w:lang w:val="en-US" w:eastAsia="zh-CN"/>
        </w:rPr>
        <w:t>对于出现以下情形的门诊慢特病患者，终止其门诊慢特病待遇：</w:t>
      </w:r>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rPr>
          <w:rFonts w:hint="eastAsia"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b/>
          <w:bCs/>
          <w:color w:val="auto"/>
          <w:kern w:val="0"/>
          <w:sz w:val="32"/>
          <w:szCs w:val="32"/>
          <w:lang w:val="en-US" w:eastAsia="zh-CN"/>
        </w:rPr>
        <w:t>1.</w:t>
      </w:r>
      <w:r>
        <w:rPr>
          <w:rFonts w:hint="eastAsia" w:ascii="方正仿宋_GBK" w:hAnsi="方正仿宋_GBK" w:eastAsia="方正仿宋_GBK" w:cs="方正仿宋_GBK"/>
          <w:color w:val="auto"/>
          <w:kern w:val="0"/>
          <w:sz w:val="32"/>
          <w:szCs w:val="32"/>
          <w:lang w:val="en-US" w:eastAsia="zh-CN"/>
        </w:rPr>
        <w:t>提供虚假材料取得门诊慢特病认定资质的；</w:t>
      </w:r>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rPr>
          <w:rFonts w:hint="eastAsia"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b/>
          <w:bCs/>
          <w:color w:val="auto"/>
          <w:kern w:val="0"/>
          <w:sz w:val="32"/>
          <w:szCs w:val="32"/>
          <w:lang w:val="en-US" w:eastAsia="zh-CN"/>
        </w:rPr>
        <w:t>2.</w:t>
      </w:r>
      <w:r>
        <w:rPr>
          <w:rFonts w:hint="eastAsia" w:ascii="方正仿宋_GBK" w:hAnsi="方正仿宋_GBK" w:eastAsia="方正仿宋_GBK" w:cs="方正仿宋_GBK"/>
          <w:color w:val="auto"/>
          <w:kern w:val="0"/>
          <w:sz w:val="32"/>
          <w:szCs w:val="32"/>
          <w:lang w:val="en-US" w:eastAsia="zh-CN"/>
        </w:rPr>
        <w:t>医疗机构自查或经办机构抽查中发现的不符合准入认定条件的；</w:t>
      </w:r>
    </w:p>
    <w:p>
      <w:pPr>
        <w:keepNext w:val="0"/>
        <w:keepLines w:val="0"/>
        <w:pageBreakBefore w:val="0"/>
        <w:kinsoku/>
        <w:wordWrap/>
        <w:overflowPunct/>
        <w:topLinePunct w:val="0"/>
        <w:autoSpaceDE/>
        <w:autoSpaceDN/>
        <w:bidi w:val="0"/>
        <w:adjustRightInd/>
        <w:snapToGrid/>
        <w:spacing w:line="560" w:lineRule="exact"/>
        <w:ind w:firstLine="642" w:firstLineChars="200"/>
        <w:textAlignment w:val="auto"/>
        <w:rPr>
          <w:rFonts w:hint="eastAsia"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b/>
          <w:bCs/>
          <w:color w:val="auto"/>
          <w:kern w:val="0"/>
          <w:sz w:val="32"/>
          <w:szCs w:val="32"/>
          <w:lang w:val="en-US" w:eastAsia="zh-CN"/>
        </w:rPr>
        <w:t>3.</w:t>
      </w:r>
      <w:r>
        <w:rPr>
          <w:rFonts w:hint="eastAsia" w:ascii="方正仿宋_GBK" w:hAnsi="方正仿宋_GBK" w:eastAsia="方正仿宋_GBK" w:cs="方正仿宋_GBK"/>
          <w:color w:val="auto"/>
          <w:kern w:val="0"/>
          <w:sz w:val="32"/>
          <w:szCs w:val="32"/>
          <w:lang w:val="en-US" w:eastAsia="zh-CN"/>
        </w:rPr>
        <w:t>采用欺诈骗保等行为骗取医保基金的。</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auto"/>
          <w:kern w:val="0"/>
          <w:sz w:val="32"/>
          <w:szCs w:val="32"/>
          <w:lang w:val="en-US" w:eastAsia="zh-CN"/>
        </w:rPr>
      </w:pPr>
      <w:r>
        <w:rPr>
          <w:rFonts w:hint="eastAsia" w:ascii="方正楷体_GBK" w:hAnsi="方正楷体_GBK" w:eastAsia="方正楷体_GBK" w:cs="方正楷体_GBK"/>
          <w:color w:val="auto"/>
          <w:kern w:val="0"/>
          <w:sz w:val="32"/>
          <w:szCs w:val="32"/>
          <w:lang w:val="en-US" w:eastAsia="zh-CN"/>
        </w:rPr>
        <w:t>（二）</w:t>
      </w:r>
      <w:r>
        <w:rPr>
          <w:rFonts w:hint="eastAsia" w:ascii="方正仿宋_GBK" w:hAnsi="方正仿宋_GBK" w:eastAsia="方正仿宋_GBK" w:cs="方正仿宋_GBK"/>
          <w:color w:val="auto"/>
          <w:kern w:val="0"/>
          <w:sz w:val="32"/>
          <w:szCs w:val="32"/>
          <w:lang w:val="en-US" w:eastAsia="zh-CN"/>
        </w:rPr>
        <w:t>对于数据筛查显示门诊慢特病待遇享受期间连续</w:t>
      </w:r>
      <w:r>
        <w:rPr>
          <w:rFonts w:hint="eastAsia" w:ascii="Times New Roman" w:hAnsi="Times New Roman" w:eastAsia="方正仿宋_GBK" w:cs="Times New Roman"/>
          <w:color w:val="auto"/>
          <w:kern w:val="0"/>
          <w:sz w:val="32"/>
          <w:szCs w:val="32"/>
          <w:lang w:val="en-US" w:eastAsia="zh-CN"/>
        </w:rPr>
        <w:t>24</w:t>
      </w:r>
      <w:r>
        <w:rPr>
          <w:rFonts w:hint="eastAsia" w:ascii="方正仿宋_GBK" w:hAnsi="方正仿宋_GBK" w:eastAsia="方正仿宋_GBK" w:cs="方正仿宋_GBK"/>
          <w:color w:val="auto"/>
          <w:kern w:val="0"/>
          <w:sz w:val="32"/>
          <w:szCs w:val="32"/>
          <w:lang w:val="en-US" w:eastAsia="zh-CN"/>
        </w:rPr>
        <w:t>个月（含以上）未产生与治疗慢特病有关的医疗费用的门诊慢特病患者，纳入慢性病鉴定复审。</w:t>
      </w:r>
    </w:p>
    <w:p>
      <w:pPr>
        <w:keepNext w:val="0"/>
        <w:keepLines w:val="0"/>
        <w:pageBreakBefore w:val="0"/>
        <w:kinsoku/>
        <w:wordWrap/>
        <w:overflowPunct/>
        <w:topLinePunct w:val="0"/>
        <w:autoSpaceDE/>
        <w:autoSpaceDN/>
        <w:bidi w:val="0"/>
        <w:adjustRightInd/>
        <w:snapToGrid/>
        <w:spacing w:line="590" w:lineRule="exact"/>
        <w:jc w:val="center"/>
        <w:textAlignment w:val="auto"/>
        <w:rPr>
          <w:rFonts w:hint="eastAsia" w:ascii="黑体" w:hAnsi="黑体" w:eastAsia="黑体"/>
          <w:sz w:val="32"/>
          <w:szCs w:val="32"/>
        </w:rPr>
      </w:pPr>
    </w:p>
    <w:p>
      <w:pPr>
        <w:keepNext w:val="0"/>
        <w:keepLines w:val="0"/>
        <w:pageBreakBefore w:val="0"/>
        <w:kinsoku/>
        <w:wordWrap/>
        <w:overflowPunct/>
        <w:topLinePunct w:val="0"/>
        <w:autoSpaceDE/>
        <w:autoSpaceDN/>
        <w:bidi w:val="0"/>
        <w:adjustRightInd/>
        <w:snapToGrid/>
        <w:spacing w:line="590" w:lineRule="exact"/>
        <w:jc w:val="center"/>
        <w:textAlignment w:val="auto"/>
        <w:rPr>
          <w:rFonts w:hint="eastAsia" w:ascii="黑体" w:hAnsi="黑体" w:eastAsia="黑体"/>
          <w:sz w:val="32"/>
          <w:szCs w:val="32"/>
        </w:rPr>
      </w:pPr>
      <w:r>
        <w:rPr>
          <w:rFonts w:hint="eastAsia" w:ascii="方正黑体_GBK" w:hAnsi="方正黑体_GBK" w:eastAsia="方正黑体_GBK" w:cs="方正黑体_GBK"/>
          <w:b w:val="0"/>
          <w:bCs w:val="0"/>
          <w:color w:val="auto"/>
          <w:sz w:val="32"/>
          <w:szCs w:val="32"/>
          <w:lang w:val="en-US" w:eastAsia="zh-CN"/>
        </w:rPr>
        <w:t>第八章 门诊慢特病基金监管</w:t>
      </w:r>
    </w:p>
    <w:p>
      <w:pPr>
        <w:numPr>
          <w:ilvl w:val="0"/>
          <w:numId w:val="0"/>
        </w:numPr>
        <w:jc w:val="center"/>
        <w:rPr>
          <w:rFonts w:hint="eastAsia" w:ascii="方正黑体_GBK" w:hAnsi="方正黑体_GBK" w:eastAsia="方正黑体_GBK" w:cs="方正黑体_GBK"/>
          <w:b w:val="0"/>
          <w:bCs w:val="0"/>
          <w:color w:val="auto"/>
          <w:sz w:val="32"/>
          <w:szCs w:val="32"/>
          <w:lang w:val="en-US" w:eastAsia="zh-CN"/>
        </w:rPr>
      </w:pP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auto"/>
          <w:kern w:val="0"/>
          <w:sz w:val="32"/>
          <w:szCs w:val="32"/>
          <w:lang w:val="en-US" w:eastAsia="zh-CN"/>
        </w:rPr>
      </w:pPr>
      <w:r>
        <w:rPr>
          <w:rFonts w:hint="eastAsia" w:ascii="方正黑体_GBK" w:hAnsi="方正黑体_GBK" w:eastAsia="方正黑体_GBK" w:cs="方正黑体_GBK"/>
          <w:b w:val="0"/>
          <w:bCs w:val="0"/>
          <w:color w:val="auto"/>
          <w:kern w:val="0"/>
          <w:sz w:val="32"/>
          <w:szCs w:val="32"/>
          <w:lang w:val="en-US" w:eastAsia="zh-CN"/>
        </w:rPr>
        <w:t>第二十七条</w:t>
      </w:r>
      <w:r>
        <w:rPr>
          <w:rFonts w:hint="eastAsia" w:ascii="方正仿宋_GBK" w:hAnsi="方正仿宋_GBK" w:eastAsia="方正仿宋_GBK" w:cs="方正仿宋_GBK"/>
          <w:b/>
          <w:bCs/>
          <w:color w:val="auto"/>
          <w:kern w:val="0"/>
          <w:sz w:val="32"/>
          <w:szCs w:val="32"/>
          <w:lang w:val="en-US" w:eastAsia="zh-CN"/>
        </w:rPr>
        <w:t xml:space="preserve"> </w:t>
      </w:r>
      <w:r>
        <w:rPr>
          <w:rFonts w:hint="eastAsia" w:ascii="方正仿宋_GBK" w:hAnsi="方正仿宋_GBK" w:eastAsia="方正仿宋_GBK" w:cs="方正仿宋_GBK"/>
          <w:color w:val="auto"/>
          <w:kern w:val="0"/>
          <w:sz w:val="32"/>
          <w:szCs w:val="32"/>
          <w:lang w:val="en-US" w:eastAsia="zh-CN"/>
        </w:rPr>
        <w:t>各医保经办机构应定期对定点医疗机构当年内门诊慢特病认定情况按照不低于</w:t>
      </w:r>
      <w:r>
        <w:rPr>
          <w:rFonts w:hint="eastAsia" w:ascii="Times New Roman" w:hAnsi="Times New Roman" w:eastAsia="方正仿宋_GBK" w:cs="Times New Roman"/>
          <w:color w:val="auto"/>
          <w:kern w:val="0"/>
          <w:sz w:val="32"/>
          <w:szCs w:val="32"/>
          <w:lang w:val="en-US" w:eastAsia="zh-CN"/>
        </w:rPr>
        <w:t>10%</w:t>
      </w:r>
      <w:r>
        <w:rPr>
          <w:rFonts w:hint="eastAsia" w:ascii="方正仿宋_GBK" w:hAnsi="方正仿宋_GBK" w:eastAsia="方正仿宋_GBK" w:cs="方正仿宋_GBK"/>
          <w:color w:val="auto"/>
          <w:kern w:val="0"/>
          <w:sz w:val="32"/>
          <w:szCs w:val="32"/>
          <w:lang w:val="en-US" w:eastAsia="zh-CN"/>
        </w:rPr>
        <w:t>比例进行抽查，一年至少</w:t>
      </w:r>
      <w:r>
        <w:rPr>
          <w:rFonts w:hint="eastAsia" w:ascii="Times New Roman" w:hAnsi="Times New Roman" w:eastAsia="方正仿宋_GBK" w:cs="Times New Roman"/>
          <w:color w:val="auto"/>
          <w:kern w:val="0"/>
          <w:sz w:val="32"/>
          <w:szCs w:val="32"/>
          <w:lang w:val="en-US" w:eastAsia="zh-CN"/>
        </w:rPr>
        <w:t>1</w:t>
      </w:r>
      <w:r>
        <w:rPr>
          <w:rFonts w:hint="eastAsia" w:ascii="方正仿宋_GBK" w:hAnsi="方正仿宋_GBK" w:eastAsia="方正仿宋_GBK" w:cs="方正仿宋_GBK"/>
          <w:color w:val="auto"/>
          <w:kern w:val="0"/>
          <w:sz w:val="32"/>
          <w:szCs w:val="32"/>
          <w:lang w:val="en-US" w:eastAsia="zh-CN"/>
        </w:rPr>
        <w:t>次。经核实不符合认定条件的病种，由认定该病种的定点医疗机构及时中止相应的门诊慢特病待遇，并自该病种准入认定之日起，所产生的相关门诊慢特病医药费用，全部由为其认定的定点医疗机构承担。</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auto"/>
          <w:kern w:val="0"/>
          <w:sz w:val="32"/>
          <w:szCs w:val="32"/>
          <w:lang w:val="en-US" w:eastAsia="zh-CN"/>
        </w:rPr>
      </w:pPr>
      <w:r>
        <w:rPr>
          <w:rFonts w:hint="eastAsia" w:ascii="方正黑体_GBK" w:hAnsi="方正黑体_GBK" w:eastAsia="方正黑体_GBK" w:cs="方正黑体_GBK"/>
          <w:b w:val="0"/>
          <w:bCs w:val="0"/>
          <w:color w:val="auto"/>
          <w:kern w:val="0"/>
          <w:sz w:val="32"/>
          <w:szCs w:val="32"/>
          <w:lang w:val="en-US" w:eastAsia="zh-CN"/>
        </w:rPr>
        <w:t>第二十八条</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kern w:val="0"/>
          <w:sz w:val="32"/>
          <w:szCs w:val="32"/>
          <w:lang w:val="en-US" w:eastAsia="zh-CN"/>
        </w:rPr>
        <w:t>对门诊慢特病病种认定准确，但存在超剂量开药等违规行为所产生的门诊慢特病费用，由发生违规费用的定点医疗机构承担。</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auto"/>
          <w:kern w:val="0"/>
          <w:sz w:val="32"/>
          <w:szCs w:val="32"/>
          <w:lang w:val="en-US" w:eastAsia="zh-CN"/>
        </w:rPr>
      </w:pPr>
      <w:r>
        <w:rPr>
          <w:rFonts w:hint="eastAsia" w:ascii="方正黑体_GBK" w:hAnsi="方正黑体_GBK" w:eastAsia="方正黑体_GBK" w:cs="方正黑体_GBK"/>
          <w:b w:val="0"/>
          <w:bCs w:val="0"/>
          <w:color w:val="auto"/>
          <w:kern w:val="0"/>
          <w:sz w:val="32"/>
          <w:szCs w:val="32"/>
          <w:lang w:val="en-US" w:eastAsia="zh-CN"/>
        </w:rPr>
        <w:t>第二十九条</w:t>
      </w:r>
      <w:r>
        <w:rPr>
          <w:rFonts w:hint="eastAsia" w:ascii="方正仿宋_GBK" w:hAnsi="方正仿宋_GBK" w:eastAsia="方正仿宋_GBK" w:cs="方正仿宋_GBK"/>
          <w:color w:val="auto"/>
          <w:kern w:val="0"/>
          <w:sz w:val="32"/>
          <w:szCs w:val="32"/>
          <w:lang w:val="en-US" w:eastAsia="zh-CN"/>
        </w:rPr>
        <w:t xml:space="preserve"> 参保人员通过伪造医学文书等有关资料申请门诊慢特病，以及在享受待遇期间出现违规行为，将按有关文件规定处理。</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b/>
          <w:bCs/>
          <w:color w:val="auto"/>
          <w:sz w:val="32"/>
          <w:szCs w:val="32"/>
          <w:lang w:val="en-US" w:eastAsia="zh-CN"/>
        </w:rPr>
      </w:pPr>
      <w:r>
        <w:rPr>
          <w:rFonts w:hint="eastAsia" w:ascii="方正黑体_GBK" w:hAnsi="方正黑体_GBK" w:eastAsia="方正黑体_GBK" w:cs="方正黑体_GBK"/>
          <w:b w:val="0"/>
          <w:bCs w:val="0"/>
          <w:color w:val="auto"/>
          <w:kern w:val="0"/>
          <w:sz w:val="32"/>
          <w:szCs w:val="32"/>
          <w:lang w:val="en-US" w:eastAsia="zh-CN"/>
        </w:rPr>
        <w:t>第三十条</w:t>
      </w:r>
      <w:r>
        <w:rPr>
          <w:rFonts w:hint="eastAsia" w:ascii="方正仿宋_GBK" w:hAnsi="方正仿宋_GBK" w:eastAsia="方正仿宋_GBK" w:cs="方正仿宋_GBK"/>
          <w:color w:val="auto"/>
          <w:kern w:val="0"/>
          <w:sz w:val="32"/>
          <w:szCs w:val="32"/>
          <w:lang w:val="en-US" w:eastAsia="zh-CN"/>
        </w:rPr>
        <w:t xml:space="preserve"> 定点医药机构及其工作人员在认定门诊慢特病待遇和提供门诊慢特病服务中出现违规行为，将按有关文件规定对相关定点医师、定点医药机构等进行处理。</w:t>
      </w:r>
    </w:p>
    <w:p>
      <w:pPr>
        <w:keepNext w:val="0"/>
        <w:keepLines w:val="0"/>
        <w:pageBreakBefore w:val="0"/>
        <w:kinsoku/>
        <w:wordWrap/>
        <w:overflowPunct/>
        <w:topLinePunct w:val="0"/>
        <w:autoSpaceDE/>
        <w:autoSpaceDN/>
        <w:bidi w:val="0"/>
        <w:adjustRightInd/>
        <w:snapToGrid/>
        <w:spacing w:line="590" w:lineRule="exact"/>
        <w:jc w:val="center"/>
        <w:textAlignment w:val="auto"/>
        <w:rPr>
          <w:rFonts w:hint="eastAsia" w:ascii="黑体" w:hAnsi="黑体" w:eastAsia="黑体"/>
          <w:sz w:val="32"/>
          <w:szCs w:val="32"/>
        </w:rPr>
      </w:pPr>
    </w:p>
    <w:p>
      <w:pPr>
        <w:keepNext w:val="0"/>
        <w:keepLines w:val="0"/>
        <w:pageBreakBefore w:val="0"/>
        <w:kinsoku/>
        <w:wordWrap/>
        <w:overflowPunct/>
        <w:topLinePunct w:val="0"/>
        <w:autoSpaceDE/>
        <w:autoSpaceDN/>
        <w:bidi w:val="0"/>
        <w:adjustRightInd/>
        <w:snapToGrid/>
        <w:spacing w:line="590" w:lineRule="exact"/>
        <w:jc w:val="center"/>
        <w:textAlignment w:val="auto"/>
        <w:rPr>
          <w:rFonts w:hint="eastAsia" w:ascii="黑体" w:hAnsi="黑体" w:eastAsia="黑体"/>
          <w:sz w:val="32"/>
          <w:szCs w:val="32"/>
        </w:rPr>
      </w:pPr>
      <w:r>
        <w:rPr>
          <w:rFonts w:hint="eastAsia" w:ascii="方正黑体_GBK" w:hAnsi="方正黑体_GBK" w:eastAsia="方正黑体_GBK" w:cs="方正黑体_GBK"/>
          <w:b w:val="0"/>
          <w:bCs w:val="0"/>
          <w:color w:val="auto"/>
          <w:sz w:val="32"/>
          <w:szCs w:val="32"/>
          <w:lang w:val="en-US" w:eastAsia="zh-CN"/>
        </w:rPr>
        <w:t>第九章  附  则</w:t>
      </w:r>
    </w:p>
    <w:p>
      <w:pPr>
        <w:numPr>
          <w:ilvl w:val="0"/>
          <w:numId w:val="0"/>
        </w:numPr>
        <w:jc w:val="center"/>
        <w:rPr>
          <w:rFonts w:hint="eastAsia" w:ascii="方正黑体_GBK" w:hAnsi="方正黑体_GBK" w:eastAsia="方正黑体_GBK" w:cs="方正黑体_GBK"/>
          <w:b w:val="0"/>
          <w:bCs w:val="0"/>
          <w:color w:val="auto"/>
          <w:sz w:val="32"/>
          <w:szCs w:val="32"/>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auto"/>
          <w:kern w:val="0"/>
          <w:sz w:val="32"/>
          <w:szCs w:val="32"/>
          <w:lang w:val="en-US" w:eastAsia="zh-CN"/>
        </w:rPr>
      </w:pPr>
      <w:r>
        <w:rPr>
          <w:rFonts w:hint="eastAsia" w:ascii="方正黑体_GBK" w:hAnsi="方正黑体_GBK" w:eastAsia="方正黑体_GBK" w:cs="方正黑体_GBK"/>
          <w:b w:val="0"/>
          <w:bCs w:val="0"/>
          <w:color w:val="auto"/>
          <w:kern w:val="0"/>
          <w:sz w:val="32"/>
          <w:szCs w:val="32"/>
          <w:lang w:val="en-US" w:eastAsia="zh-CN"/>
        </w:rPr>
        <w:t>第三十一条</w:t>
      </w:r>
      <w:r>
        <w:rPr>
          <w:rFonts w:hint="eastAsia" w:ascii="方正仿宋_GBK" w:hAnsi="方正仿宋_GBK" w:eastAsia="方正仿宋_GBK" w:cs="方正仿宋_GBK"/>
          <w:b/>
          <w:bCs/>
          <w:color w:val="auto"/>
          <w:kern w:val="0"/>
          <w:sz w:val="32"/>
          <w:szCs w:val="32"/>
          <w:lang w:val="en-US" w:eastAsia="zh-CN"/>
        </w:rPr>
        <w:t xml:space="preserve"> </w:t>
      </w:r>
      <w:r>
        <w:rPr>
          <w:rFonts w:hint="eastAsia" w:ascii="方正仿宋_GBK" w:hAnsi="方正仿宋_GBK" w:eastAsia="方正仿宋_GBK" w:cs="方正仿宋_GBK"/>
          <w:color w:val="auto"/>
          <w:kern w:val="0"/>
          <w:sz w:val="32"/>
          <w:szCs w:val="32"/>
          <w:lang w:val="en-US" w:eastAsia="zh-CN"/>
        </w:rPr>
        <w:t>本细则自</w:t>
      </w:r>
      <w:r>
        <w:rPr>
          <w:rFonts w:hint="eastAsia" w:ascii="Times New Roman" w:hAnsi="Times New Roman" w:eastAsia="方正仿宋_GBK" w:cs="Times New Roman"/>
          <w:color w:val="auto"/>
          <w:kern w:val="0"/>
          <w:sz w:val="32"/>
          <w:szCs w:val="32"/>
          <w:lang w:val="en-US" w:eastAsia="zh-CN"/>
        </w:rPr>
        <w:t>2022</w:t>
      </w:r>
      <w:r>
        <w:rPr>
          <w:rFonts w:hint="eastAsia" w:ascii="方正仿宋_GBK" w:hAnsi="方正仿宋_GBK" w:eastAsia="方正仿宋_GBK" w:cs="方正仿宋_GBK"/>
          <w:color w:val="auto"/>
          <w:kern w:val="0"/>
          <w:sz w:val="32"/>
          <w:szCs w:val="32"/>
          <w:lang w:val="en-US" w:eastAsia="zh-CN"/>
        </w:rPr>
        <w:t>年</w:t>
      </w:r>
      <w:r>
        <w:rPr>
          <w:rFonts w:hint="eastAsia" w:ascii="Times New Roman" w:hAnsi="Times New Roman" w:eastAsia="方正仿宋_GBK" w:cs="Times New Roman"/>
          <w:color w:val="auto"/>
          <w:kern w:val="0"/>
          <w:sz w:val="32"/>
          <w:szCs w:val="32"/>
          <w:lang w:val="en-US" w:eastAsia="zh-CN"/>
        </w:rPr>
        <w:t>8</w:t>
      </w:r>
      <w:r>
        <w:rPr>
          <w:rFonts w:hint="eastAsia" w:ascii="方正仿宋_GBK" w:hAnsi="方正仿宋_GBK" w:eastAsia="方正仿宋_GBK" w:cs="方正仿宋_GBK"/>
          <w:color w:val="auto"/>
          <w:kern w:val="0"/>
          <w:sz w:val="32"/>
          <w:szCs w:val="32"/>
          <w:lang w:val="en-US" w:eastAsia="zh-CN"/>
        </w:rPr>
        <w:t>月</w:t>
      </w:r>
      <w:r>
        <w:rPr>
          <w:rFonts w:hint="eastAsia" w:ascii="Times New Roman" w:hAnsi="Times New Roman" w:eastAsia="方正仿宋_GBK" w:cs="Times New Roman"/>
          <w:color w:val="auto"/>
          <w:kern w:val="0"/>
          <w:sz w:val="32"/>
          <w:szCs w:val="32"/>
          <w:lang w:val="en-US" w:eastAsia="zh-CN"/>
        </w:rPr>
        <w:t>1</w:t>
      </w:r>
      <w:r>
        <w:rPr>
          <w:rFonts w:hint="eastAsia" w:ascii="方正仿宋_GBK" w:hAnsi="方正仿宋_GBK" w:eastAsia="方正仿宋_GBK" w:cs="方正仿宋_GBK"/>
          <w:color w:val="auto"/>
          <w:kern w:val="0"/>
          <w:sz w:val="32"/>
          <w:szCs w:val="32"/>
          <w:lang w:val="en-US" w:eastAsia="zh-CN"/>
        </w:rPr>
        <w:t>日起开始执行。原基本医疗保险门诊慢特病有关文件与本细则规定不一致的以本细则为准。执行期间，如遇国家、省政策调整，从其规定。</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auto"/>
          <w:kern w:val="0"/>
          <w:sz w:val="32"/>
          <w:szCs w:val="32"/>
          <w:lang w:val="en-US" w:eastAsia="zh-CN"/>
        </w:rPr>
      </w:pPr>
      <w:r>
        <w:rPr>
          <w:rFonts w:hint="eastAsia" w:ascii="方正黑体_GBK" w:hAnsi="方正黑体_GBK" w:eastAsia="方正黑体_GBK" w:cs="方正黑体_GBK"/>
          <w:b w:val="0"/>
          <w:bCs w:val="0"/>
          <w:color w:val="auto"/>
          <w:kern w:val="0"/>
          <w:sz w:val="32"/>
          <w:szCs w:val="32"/>
          <w:lang w:val="en-US" w:eastAsia="zh-CN"/>
        </w:rPr>
        <w:t>第三十二条</w:t>
      </w:r>
      <w:r>
        <w:rPr>
          <w:rFonts w:hint="eastAsia" w:ascii="方正仿宋_GBK" w:hAnsi="方正仿宋_GBK" w:eastAsia="方正仿宋_GBK" w:cs="方正仿宋_GBK"/>
          <w:color w:val="auto"/>
          <w:sz w:val="32"/>
          <w:szCs w:val="32"/>
          <w:lang w:val="en-US" w:eastAsia="zh-CN"/>
        </w:rPr>
        <w:t xml:space="preserve"> </w:t>
      </w:r>
      <w:r>
        <w:rPr>
          <w:rFonts w:hint="eastAsia" w:ascii="方正仿宋_GBK" w:hAnsi="方正仿宋_GBK" w:eastAsia="方正仿宋_GBK" w:cs="方正仿宋_GBK"/>
          <w:color w:val="auto"/>
          <w:kern w:val="0"/>
          <w:sz w:val="32"/>
          <w:szCs w:val="32"/>
          <w:lang w:val="en-US" w:eastAsia="zh-CN"/>
        </w:rPr>
        <w:t>本细则由市医保局负责解释。</w:t>
      </w:r>
    </w:p>
    <w:p>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ascii="方正仿宋_GBK" w:hAnsi="方正仿宋_GBK" w:eastAsia="方正仿宋_GBK" w:cs="方正仿宋_GBK"/>
          <w:color w:val="auto"/>
          <w:sz w:val="32"/>
          <w:szCs w:val="32"/>
          <w:lang w:val="en-US" w:eastAsia="zh-CN"/>
        </w:rPr>
      </w:pP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color w:val="auto"/>
          <w:kern w:val="0"/>
          <w:sz w:val="32"/>
          <w:szCs w:val="32"/>
          <w:lang w:val="en-US" w:eastAsia="zh-CN"/>
        </w:rPr>
        <w:t xml:space="preserve">附件：1. </w:t>
      </w:r>
      <w:r>
        <w:rPr>
          <w:rFonts w:hint="eastAsia" w:ascii="Times New Roman" w:hAnsi="Times New Roman" w:eastAsia="方正仿宋_GBK" w:cs="Times New Roman"/>
          <w:color w:val="auto"/>
          <w:kern w:val="0"/>
          <w:sz w:val="32"/>
          <w:szCs w:val="32"/>
          <w:lang w:val="en-US" w:eastAsia="zh-CN"/>
        </w:rPr>
        <w:t>2021</w:t>
      </w:r>
      <w:r>
        <w:rPr>
          <w:rFonts w:hint="eastAsia" w:ascii="方正仿宋_GBK" w:hAnsi="方正仿宋_GBK" w:eastAsia="方正仿宋_GBK" w:cs="方正仿宋_GBK"/>
          <w:color w:val="auto"/>
          <w:kern w:val="0"/>
          <w:sz w:val="32"/>
          <w:szCs w:val="32"/>
          <w:lang w:val="en-US" w:eastAsia="zh-CN"/>
        </w:rPr>
        <w:t>年</w:t>
      </w:r>
      <w:r>
        <w:rPr>
          <w:rFonts w:hint="eastAsia" w:ascii="Times New Roman" w:hAnsi="Times New Roman" w:eastAsia="方正仿宋_GBK" w:cs="Times New Roman"/>
          <w:color w:val="auto"/>
          <w:kern w:val="0"/>
          <w:sz w:val="32"/>
          <w:szCs w:val="32"/>
          <w:lang w:val="en-US" w:eastAsia="zh-CN"/>
        </w:rPr>
        <w:t>5</w:t>
      </w:r>
      <w:r>
        <w:rPr>
          <w:rFonts w:hint="eastAsia" w:ascii="方正仿宋_GBK" w:hAnsi="方正仿宋_GBK" w:eastAsia="方正仿宋_GBK" w:cs="方正仿宋_GBK"/>
          <w:color w:val="auto"/>
          <w:kern w:val="0"/>
          <w:sz w:val="32"/>
          <w:szCs w:val="32"/>
          <w:lang w:val="en-US" w:eastAsia="zh-CN"/>
        </w:rPr>
        <w:t>月</w:t>
      </w:r>
      <w:r>
        <w:rPr>
          <w:rFonts w:hint="eastAsia" w:ascii="Times New Roman" w:hAnsi="Times New Roman" w:eastAsia="方正仿宋_GBK" w:cs="Times New Roman"/>
          <w:color w:val="auto"/>
          <w:kern w:val="0"/>
          <w:sz w:val="32"/>
          <w:szCs w:val="32"/>
          <w:lang w:val="en-US" w:eastAsia="zh-CN"/>
        </w:rPr>
        <w:t>1</w:t>
      </w:r>
      <w:r>
        <w:rPr>
          <w:rFonts w:hint="eastAsia" w:ascii="方正仿宋_GBK" w:hAnsi="方正仿宋_GBK" w:eastAsia="方正仿宋_GBK" w:cs="方正仿宋_GBK"/>
          <w:color w:val="auto"/>
          <w:kern w:val="0"/>
          <w:sz w:val="32"/>
          <w:szCs w:val="32"/>
          <w:lang w:val="en-US" w:eastAsia="zh-CN"/>
        </w:rPr>
        <w:t>日起取消病种</w:t>
      </w:r>
    </w:p>
    <w:p>
      <w:pPr>
        <w:keepNext w:val="0"/>
        <w:keepLines w:val="0"/>
        <w:pageBreakBefore w:val="0"/>
        <w:numPr>
          <w:ilvl w:val="0"/>
          <w:numId w:val="2"/>
        </w:numPr>
        <w:kinsoku/>
        <w:wordWrap/>
        <w:overflowPunct/>
        <w:topLinePunct w:val="0"/>
        <w:autoSpaceDE/>
        <w:autoSpaceDN/>
        <w:bidi w:val="0"/>
        <w:adjustRightInd/>
        <w:snapToGrid/>
        <w:spacing w:line="560" w:lineRule="exact"/>
        <w:ind w:firstLine="1600" w:firstLineChars="500"/>
        <w:textAlignment w:val="auto"/>
        <w:rPr>
          <w:rFonts w:hint="eastAsia"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color w:val="auto"/>
          <w:kern w:val="0"/>
          <w:sz w:val="32"/>
          <w:szCs w:val="32"/>
          <w:lang w:val="en-US" w:eastAsia="zh-CN"/>
        </w:rPr>
        <w:t>芜湖市基本医疗保险参保人员门诊慢特病准入申</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1600" w:firstLineChars="500"/>
        <w:textAlignment w:val="auto"/>
        <w:rPr>
          <w:rFonts w:hint="eastAsia"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color w:val="auto"/>
          <w:kern w:val="0"/>
          <w:sz w:val="32"/>
          <w:szCs w:val="32"/>
          <w:lang w:val="en-US" w:eastAsia="zh-CN"/>
        </w:rPr>
        <w:t>请表</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1600" w:firstLineChars="500"/>
        <w:textAlignment w:val="auto"/>
        <w:rPr>
          <w:rFonts w:hint="eastAsia" w:ascii="方正仿宋_GBK" w:hAnsi="方正仿宋_GBK" w:eastAsia="方正仿宋_GBK" w:cs="方正仿宋_GBK"/>
          <w:color w:val="auto"/>
          <w:kern w:val="0"/>
          <w:sz w:val="32"/>
          <w:szCs w:val="32"/>
          <w:lang w:val="en-US" w:eastAsia="zh-CN"/>
        </w:rPr>
      </w:pPr>
      <w:r>
        <w:rPr>
          <w:rFonts w:hint="eastAsia" w:ascii="方正仿宋_GBK" w:hAnsi="方正仿宋_GBK" w:eastAsia="方正仿宋_GBK" w:cs="方正仿宋_GBK"/>
          <w:color w:val="auto"/>
          <w:kern w:val="0"/>
          <w:sz w:val="32"/>
          <w:szCs w:val="32"/>
          <w:lang w:val="en-US" w:eastAsia="zh-CN"/>
        </w:rPr>
        <w:t>3. 门诊慢特病准入认定标准</w:t>
      </w:r>
    </w:p>
    <w:p>
      <w:pPr>
        <w:numPr>
          <w:ilvl w:val="0"/>
          <w:numId w:val="0"/>
        </w:numPr>
        <w:ind w:firstLine="1600" w:firstLineChars="500"/>
        <w:jc w:val="both"/>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kern w:val="0"/>
          <w:sz w:val="32"/>
          <w:szCs w:val="32"/>
          <w:lang w:val="en-US" w:eastAsia="zh-CN"/>
        </w:rPr>
        <w:t xml:space="preserve">4. </w:t>
      </w:r>
      <w:r>
        <w:rPr>
          <w:rFonts w:hint="eastAsia" w:ascii="方正仿宋_GBK" w:hAnsi="方正仿宋_GBK" w:eastAsia="方正仿宋_GBK" w:cs="方正仿宋_GBK"/>
          <w:color w:val="auto"/>
          <w:sz w:val="32"/>
          <w:szCs w:val="32"/>
          <w:lang w:val="en-US" w:eastAsia="zh-CN"/>
        </w:rPr>
        <w:t>基本医保普通门诊慢特病限额及报销比例</w:t>
      </w:r>
    </w:p>
    <w:p>
      <w:pPr>
        <w:pStyle w:val="20"/>
        <w:keepNext w:val="0"/>
        <w:keepLines w:val="0"/>
        <w:pageBreakBefore w:val="0"/>
        <w:widowControl w:val="0"/>
        <w:shd w:val="clear" w:color="auto" w:fill="auto"/>
        <w:kinsoku/>
        <w:wordWrap/>
        <w:overflowPunct/>
        <w:topLinePunct w:val="0"/>
        <w:autoSpaceDE/>
        <w:autoSpaceDN/>
        <w:bidi w:val="0"/>
        <w:adjustRightInd/>
        <w:snapToGrid/>
        <w:spacing w:before="0" w:after="0" w:line="590" w:lineRule="exact"/>
        <w:ind w:left="0" w:leftChars="0" w:right="0" w:firstLine="640" w:firstLineChars="200"/>
        <w:jc w:val="both"/>
        <w:textAlignment w:val="auto"/>
        <w:rPr>
          <w:rFonts w:hint="eastAsia" w:ascii="方正仿宋_GBK" w:hAnsi="方正仿宋_GBK" w:eastAsia="方正仿宋_GBK" w:cs="方正仿宋_GBK"/>
          <w:color w:val="000000"/>
          <w:spacing w:val="0"/>
          <w:w w:val="100"/>
          <w:position w:val="0"/>
          <w:sz w:val="32"/>
          <w:szCs w:val="32"/>
        </w:rPr>
      </w:pP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altName w:val="方正书宋_GBK"/>
    <w:panose1 w:val="00000000000000000000"/>
    <w:charset w:val="86"/>
    <w:family w:val="auto"/>
    <w:pitch w:val="default"/>
    <w:sig w:usb0="00000000" w:usb1="0000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modern"/>
    <w:pitch w:val="default"/>
    <w:sig w:usb0="00000000" w:usb1="00000000" w:usb2="00000000" w:usb3="00000000" w:csb0="00040000" w:csb1="00000000"/>
  </w:font>
  <w:font w:name="楷体_GB2312">
    <w:altName w:val="方正楷体_GBK"/>
    <w:panose1 w:val="02010609030101010101"/>
    <w:charset w:val="86"/>
    <w:family w:val="modern"/>
    <w:pitch w:val="default"/>
    <w:sig w:usb0="00000000" w:usb1="00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书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left="4788" w:leftChars="2280"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false" anchor="t" anchorCtr="false" forceAA="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FgAAAGRycy9QSwECFAAUAAAACACHTuJAs0lY&#10;7tAAAAAFAQAADwAAAAAAAAABACAAAAA4AAAAZHJzL2Rvd25yZXYueG1sUEsBAhQAFAAAAAgAh07i&#10;QLEyC0YUAgAAGQQAAA4AAAAAAAAAAQAgAAAANQEAAGRycy9lMm9Eb2MueG1sUEsFBgAAAAAGAAYA&#10;WQEAALsFAAAAAA==&#10;">
              <v:fill on="f" focussize="0,0"/>
              <v:stroke on="f" weight="0.5pt"/>
              <v:imagedata o:title=""/>
              <o:lock v:ext="edit" aspectratio="f"/>
              <v:textbox inset="0mm,0mm,0mm,0mm" style="mso-fit-shape-to-text:t;">
                <w:txbxContent>
                  <w:p>
                    <w:pPr>
                      <w:pStyle w:val="7"/>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pPr>
      <w:pStyle w:val="8"/>
      <w:wordWrap w:val="0"/>
      <w:ind w:left="4788" w:leftChars="2280" w:firstLine="6400" w:firstLineChars="2000"/>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WAAAAZHJzL1BLAQIUABQAAAAIAIdO4kDzp6XR1AAAAAYBAAAP&#10;AAAAAAAAAAEAIAAAADgAAABkcnMvZG93bnJldi54bWxQSwECFAAUAAAACACHTuJArqM64M0BAABn&#10;AwAADgAAAAAAAAABACAAAAA5AQAAZHJzL2Uyb0RvYy54bWxQSwUGAAAAAAYABgBZAQAAeAUAAAAA&#10;">
              <v:fill on="f" focussize="0,0"/>
              <v:stroke weight="1.75pt" color="#005192 [3204]" miterlimit="8" joinstyle="miter"/>
              <v:imagedata o:title=""/>
              <o:lock v:ext="edit" aspectratio="f"/>
            </v:line>
          </w:pict>
        </mc:Fallback>
      </mc:AlternateContent>
    </w:r>
    <w:r>
      <w:rPr>
        <w:rFonts w:hint="eastAsia" w:eastAsia="仿宋"/>
        <w:color w:val="FAFAFA"/>
        <w:sz w:val="32"/>
        <w:szCs w:val="48"/>
      </w:rPr>
      <w:t>X</w:t>
    </w:r>
    <w:r>
      <w:rPr>
        <w:rFonts w:hint="eastAsia" w:ascii="宋体" w:hAnsi="宋体" w:eastAsia="宋体" w:cs="宋体"/>
        <w:b/>
        <w:bCs/>
        <w:color w:val="005192"/>
        <w:sz w:val="28"/>
        <w:szCs w:val="44"/>
      </w:rPr>
      <w:t>芜湖市</w:t>
    </w:r>
    <w:r>
      <w:rPr>
        <w:rFonts w:hint="eastAsia" w:ascii="宋体" w:hAnsi="宋体" w:eastAsia="宋体" w:cs="宋体"/>
        <w:b/>
        <w:bCs/>
        <w:color w:val="005192"/>
        <w:sz w:val="28"/>
        <w:szCs w:val="44"/>
        <w:lang w:eastAsia="zh-CN"/>
      </w:rPr>
      <w:t>医疗保障局</w:t>
    </w:r>
    <w:r>
      <w:rPr>
        <w:rFonts w:hint="eastAsia" w:ascii="宋体" w:hAnsi="宋体" w:eastAsia="宋体" w:cs="宋体"/>
        <w:b/>
        <w:bCs/>
        <w:color w:val="005192"/>
        <w:sz w:val="28"/>
        <w:szCs w:val="44"/>
      </w:rPr>
      <w:t xml:space="preserve">发布     </w:t>
    </w:r>
  </w:p>
  <w:p>
    <w:pPr>
      <w:pStyle w:val="8"/>
      <w:wordWrap w:val="0"/>
      <w:ind w:left="4788" w:leftChars="2280" w:firstLine="5621" w:firstLineChars="2000"/>
      <w:jc w:val="right"/>
      <w:rPr>
        <w:rFonts w:ascii="宋体" w:hAnsi="宋体" w:eastAsia="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extAlignment w:val="center"/>
      <w:rPr>
        <w:rFonts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BYAAABkcnMvUEsBAhQAFAAAAAgAh07iQNRH&#10;QNbVAAAACQEAAA8AAAAAAAAAAQAgAAAAOAAAAGRycy9kb3ducmV2LnhtbFBLAQIUABQAAAAIAIdO&#10;4kDj7jEZ1wEAAG8DAAAOAAAAAAAAAAEAIAAAADoBAABkcnMvZTJvRG9jLnhtbFBLBQYAAAAABgAG&#10;AFkBAACDBQAAAAA=&#10;">
              <v:fill on="f" focussize="0,0"/>
              <v:stroke weight="1.75pt" color="#005192 [3204]" miterlimit="8" joinstyle="miter"/>
              <v:imagedata o:title=""/>
              <o:lock v:ext="edit" aspectratio="f"/>
            </v:line>
          </w:pict>
        </mc:Fallback>
      </mc:AlternateContent>
    </w:r>
  </w:p>
  <w:p>
    <w:pPr>
      <w:pStyle w:val="8"/>
      <w:textAlignment w:val="center"/>
      <w:rPr>
        <w:rFonts w:hint="default"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true"/>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rPr>
      <w:t>芜湖市</w:t>
    </w:r>
    <w:r>
      <w:rPr>
        <w:rFonts w:hint="eastAsia" w:ascii="宋体" w:hAnsi="宋体" w:eastAsia="宋体" w:cs="宋体"/>
        <w:b/>
        <w:bCs/>
        <w:color w:val="005192"/>
        <w:sz w:val="32"/>
        <w:szCs w:val="32"/>
        <w:lang w:eastAsia="zh-CN"/>
      </w:rPr>
      <w:t>医疗保障局</w:t>
    </w:r>
    <w:r>
      <w:rPr>
        <w:rFonts w:hint="eastAsia" w:ascii="宋体" w:hAnsi="宋体" w:eastAsia="宋体" w:cs="宋体"/>
        <w:b/>
        <w:bCs/>
        <w:color w:val="005192"/>
        <w:sz w:val="32"/>
        <w:szCs w:val="32"/>
        <w:lang w:val="en-US" w:eastAsia="zh-CN"/>
      </w:rPr>
      <w:t>行政规范性文件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5A0C25"/>
    <w:multiLevelType w:val="singleLevel"/>
    <w:tmpl w:val="FF5A0C25"/>
    <w:lvl w:ilvl="0" w:tentative="0">
      <w:start w:val="2"/>
      <w:numFmt w:val="decimal"/>
      <w:suff w:val="space"/>
      <w:lvlText w:val="%1."/>
      <w:lvlJc w:val="left"/>
    </w:lvl>
  </w:abstractNum>
  <w:abstractNum w:abstractNumId="1">
    <w:nsid w:val="53F75F3F"/>
    <w:multiLevelType w:val="singleLevel"/>
    <w:tmpl w:val="53F75F3F"/>
    <w:lvl w:ilvl="0" w:tentative="0">
      <w:start w:val="1"/>
      <w:numFmt w:val="chineseCounting"/>
      <w:suff w:val="space"/>
      <w:lvlText w:val="第%1章"/>
      <w:lvlJc w:val="left"/>
      <w:pPr>
        <w:tabs>
          <w:tab w:val="left" w:pos="0"/>
        </w:tabs>
      </w:pPr>
      <w:rPr>
        <w:rFonts w:hint="eastAsia" w:eastAsia="方正黑体_GBK"/>
        <w:sz w:val="32"/>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VhZGZmMWYxNWUwNGI5NzVhNGQ1ZmVjNmM1ODE3ZDgifQ=="/>
  </w:docVars>
  <w:rsids>
    <w:rsidRoot w:val="00172A27"/>
    <w:rsid w:val="000B75E5"/>
    <w:rsid w:val="00103799"/>
    <w:rsid w:val="00172A27"/>
    <w:rsid w:val="00197EF1"/>
    <w:rsid w:val="001D5673"/>
    <w:rsid w:val="00370D60"/>
    <w:rsid w:val="003B0BE9"/>
    <w:rsid w:val="003C2C10"/>
    <w:rsid w:val="00496D91"/>
    <w:rsid w:val="00507124"/>
    <w:rsid w:val="00545D8F"/>
    <w:rsid w:val="005D49CE"/>
    <w:rsid w:val="00650E3A"/>
    <w:rsid w:val="00701CB2"/>
    <w:rsid w:val="007740FE"/>
    <w:rsid w:val="007E5B7F"/>
    <w:rsid w:val="00855681"/>
    <w:rsid w:val="00866D1D"/>
    <w:rsid w:val="00886771"/>
    <w:rsid w:val="008A1132"/>
    <w:rsid w:val="00900219"/>
    <w:rsid w:val="00940255"/>
    <w:rsid w:val="009418D6"/>
    <w:rsid w:val="00AD7101"/>
    <w:rsid w:val="00B305BB"/>
    <w:rsid w:val="00B8333C"/>
    <w:rsid w:val="00BE1AF4"/>
    <w:rsid w:val="00C2647D"/>
    <w:rsid w:val="00DA2E23"/>
    <w:rsid w:val="00ED39D9"/>
    <w:rsid w:val="00F1597D"/>
    <w:rsid w:val="00F17DC1"/>
    <w:rsid w:val="019E71BD"/>
    <w:rsid w:val="032B6C3A"/>
    <w:rsid w:val="033E332C"/>
    <w:rsid w:val="04B679C3"/>
    <w:rsid w:val="052B2C5E"/>
    <w:rsid w:val="05900B27"/>
    <w:rsid w:val="07D34838"/>
    <w:rsid w:val="080F63D8"/>
    <w:rsid w:val="087A5962"/>
    <w:rsid w:val="09341458"/>
    <w:rsid w:val="0A7E7160"/>
    <w:rsid w:val="0B0912D7"/>
    <w:rsid w:val="0EE3051E"/>
    <w:rsid w:val="0FAD3BC0"/>
    <w:rsid w:val="104A7615"/>
    <w:rsid w:val="1277193D"/>
    <w:rsid w:val="142A6579"/>
    <w:rsid w:val="152D2DCA"/>
    <w:rsid w:val="153913E2"/>
    <w:rsid w:val="17DB6A12"/>
    <w:rsid w:val="1DD97D69"/>
    <w:rsid w:val="1DEC284C"/>
    <w:rsid w:val="1E6523AC"/>
    <w:rsid w:val="1FDF3575"/>
    <w:rsid w:val="1FFA7124"/>
    <w:rsid w:val="22440422"/>
    <w:rsid w:val="27F7674B"/>
    <w:rsid w:val="2A5C1C3C"/>
    <w:rsid w:val="2E9C2BDF"/>
    <w:rsid w:val="31A15F24"/>
    <w:rsid w:val="31B72082"/>
    <w:rsid w:val="37FFBCC4"/>
    <w:rsid w:val="395347B5"/>
    <w:rsid w:val="398E534A"/>
    <w:rsid w:val="39A232A0"/>
    <w:rsid w:val="39E745AA"/>
    <w:rsid w:val="3B5A6BBB"/>
    <w:rsid w:val="3EBAFB88"/>
    <w:rsid w:val="3EDA13A6"/>
    <w:rsid w:val="3FC82FE6"/>
    <w:rsid w:val="3FF21DD0"/>
    <w:rsid w:val="3FFBE736"/>
    <w:rsid w:val="42F058B7"/>
    <w:rsid w:val="436109F6"/>
    <w:rsid w:val="441A38D4"/>
    <w:rsid w:val="447A10D3"/>
    <w:rsid w:val="494553A6"/>
    <w:rsid w:val="4A5162EE"/>
    <w:rsid w:val="4B0A0B56"/>
    <w:rsid w:val="4BC77339"/>
    <w:rsid w:val="4C5F98EB"/>
    <w:rsid w:val="4C9236C5"/>
    <w:rsid w:val="4DE7A040"/>
    <w:rsid w:val="4ED908C9"/>
    <w:rsid w:val="4F6FC1AF"/>
    <w:rsid w:val="4FBF617D"/>
    <w:rsid w:val="4FEDD155"/>
    <w:rsid w:val="505C172E"/>
    <w:rsid w:val="52C74409"/>
    <w:rsid w:val="52F46F0B"/>
    <w:rsid w:val="53D8014D"/>
    <w:rsid w:val="5550603F"/>
    <w:rsid w:val="55A56411"/>
    <w:rsid w:val="55E064E0"/>
    <w:rsid w:val="5660369E"/>
    <w:rsid w:val="572C6D10"/>
    <w:rsid w:val="58DDA33E"/>
    <w:rsid w:val="5DC34279"/>
    <w:rsid w:val="5E5B33B7"/>
    <w:rsid w:val="5EFFB805"/>
    <w:rsid w:val="5F7A8D69"/>
    <w:rsid w:val="5FE6FED2"/>
    <w:rsid w:val="608816D1"/>
    <w:rsid w:val="60EF4E7F"/>
    <w:rsid w:val="632B726B"/>
    <w:rsid w:val="665233C1"/>
    <w:rsid w:val="67750F81"/>
    <w:rsid w:val="6AD45862"/>
    <w:rsid w:val="6AD9688B"/>
    <w:rsid w:val="6AEE1AB5"/>
    <w:rsid w:val="6C681542"/>
    <w:rsid w:val="6D0E3F22"/>
    <w:rsid w:val="6F2B6B62"/>
    <w:rsid w:val="6F8477EE"/>
    <w:rsid w:val="6FBC5506"/>
    <w:rsid w:val="70D53502"/>
    <w:rsid w:val="737C3597"/>
    <w:rsid w:val="73826795"/>
    <w:rsid w:val="73FA9135"/>
    <w:rsid w:val="74F1485B"/>
    <w:rsid w:val="77AF316A"/>
    <w:rsid w:val="77B72903"/>
    <w:rsid w:val="79DFDB7C"/>
    <w:rsid w:val="7C844D47"/>
    <w:rsid w:val="7C9011D9"/>
    <w:rsid w:val="7DC651C5"/>
    <w:rsid w:val="7FBB455C"/>
    <w:rsid w:val="7FBF16B4"/>
    <w:rsid w:val="7FCC2834"/>
    <w:rsid w:val="7FF5BCD2"/>
    <w:rsid w:val="7FFDA612"/>
    <w:rsid w:val="8FFF358E"/>
    <w:rsid w:val="99FD57C9"/>
    <w:rsid w:val="9DFB649E"/>
    <w:rsid w:val="9EFF2D37"/>
    <w:rsid w:val="9F779FAB"/>
    <w:rsid w:val="9FFF95EA"/>
    <w:rsid w:val="AF5FD5B5"/>
    <w:rsid w:val="B4BE79E8"/>
    <w:rsid w:val="B77FB37A"/>
    <w:rsid w:val="B7E92D71"/>
    <w:rsid w:val="BB2DC03D"/>
    <w:rsid w:val="BFDF063E"/>
    <w:rsid w:val="D37CA48F"/>
    <w:rsid w:val="D7AD7795"/>
    <w:rsid w:val="D7DB6EE1"/>
    <w:rsid w:val="DBBF6EEA"/>
    <w:rsid w:val="DBFD8C90"/>
    <w:rsid w:val="DF6FCDCA"/>
    <w:rsid w:val="DFDFB05F"/>
    <w:rsid w:val="E7DF4867"/>
    <w:rsid w:val="EA7E8AA2"/>
    <w:rsid w:val="EEDFFBD9"/>
    <w:rsid w:val="EFFF3071"/>
    <w:rsid w:val="F6F72FFA"/>
    <w:rsid w:val="F74D4B97"/>
    <w:rsid w:val="FA7EAF68"/>
    <w:rsid w:val="FEFF58E7"/>
    <w:rsid w:val="FF3A50B5"/>
    <w:rsid w:val="FF67A4AC"/>
    <w:rsid w:val="FFAFF447"/>
    <w:rsid w:val="FFD716F3"/>
    <w:rsid w:val="FFF560DC"/>
    <w:rsid w:val="FFFF63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iPriority="99"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99"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3"/>
    <w:next w:val="1"/>
    <w:qFormat/>
    <w:uiPriority w:val="0"/>
    <w:pPr>
      <w:keepNext/>
      <w:keepLines/>
      <w:spacing w:before="260" w:after="260" w:line="413" w:lineRule="auto"/>
      <w:outlineLvl w:val="1"/>
    </w:pPr>
    <w:rPr>
      <w:rFonts w:ascii="Arial" w:hAnsi="Arial" w:eastAsia="黑体" w:cs="Times New Roman"/>
      <w:sz w:val="32"/>
    </w:rPr>
  </w:style>
  <w:style w:type="paragraph" w:styleId="3">
    <w:name w:val="heading 3"/>
    <w:basedOn w:val="1"/>
    <w:next w:val="1"/>
    <w:qFormat/>
    <w:uiPriority w:val="0"/>
    <w:pPr>
      <w:widowControl/>
      <w:jc w:val="left"/>
      <w:outlineLvl w:val="2"/>
    </w:pPr>
    <w:rPr>
      <w:rFonts w:ascii="宋体" w:hAnsi="宋体" w:eastAsia="宋体" w:cs="Times New Roman"/>
      <w:b/>
      <w:sz w:val="27"/>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rPr>
      <w:rFonts w:ascii="Times New Roman" w:hAnsi="Times New Roman" w:cs="Times New Roman"/>
      <w:szCs w:val="20"/>
    </w:rPr>
  </w:style>
  <w:style w:type="paragraph" w:styleId="5">
    <w:name w:val="annotation text"/>
    <w:basedOn w:val="1"/>
    <w:qFormat/>
    <w:uiPriority w:val="0"/>
    <w:pPr>
      <w:jc w:val="left"/>
    </w:pPr>
  </w:style>
  <w:style w:type="paragraph" w:styleId="6">
    <w:name w:val="Plain Text"/>
    <w:basedOn w:val="1"/>
    <w:link w:val="16"/>
    <w:qFormat/>
    <w:uiPriority w:val="0"/>
    <w:rPr>
      <w:rFonts w:ascii="宋体" w:hAnsi="Courier New" w:eastAsia="仿宋_GB2312" w:cs="Courier New"/>
      <w:sz w:val="32"/>
      <w:szCs w:val="21"/>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Body Text 2"/>
    <w:basedOn w:val="1"/>
    <w:unhideWhenUsed/>
    <w:qFormat/>
    <w:uiPriority w:val="99"/>
    <w:pPr>
      <w:spacing w:after="120" w:line="480" w:lineRule="auto"/>
    </w:pPr>
    <w:rPr>
      <w:rFonts w:ascii="Calibri" w:hAnsi="Calibri" w:eastAsia="宋体" w:cs="Times New Roman"/>
    </w:rPr>
  </w:style>
  <w:style w:type="paragraph" w:styleId="10">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1">
    <w:name w:val="Normal (Web)"/>
    <w:basedOn w:val="1"/>
    <w:qFormat/>
    <w:uiPriority w:val="99"/>
    <w:pPr>
      <w:widowControl/>
      <w:spacing w:before="100" w:beforeAutospacing="1" w:after="100" w:afterAutospacing="1"/>
      <w:jc w:val="left"/>
    </w:pPr>
    <w:rPr>
      <w:rFonts w:ascii="宋体" w:hAnsi="宋体" w:eastAsia="宋体" w:cs="宋体"/>
      <w:kern w:val="0"/>
      <w:sz w:val="24"/>
    </w:rPr>
  </w:style>
  <w:style w:type="character" w:styleId="14">
    <w:name w:val="page number"/>
    <w:basedOn w:val="13"/>
    <w:qFormat/>
    <w:uiPriority w:val="0"/>
  </w:style>
  <w:style w:type="character" w:styleId="15">
    <w:name w:val="annotation reference"/>
    <w:basedOn w:val="13"/>
    <w:qFormat/>
    <w:uiPriority w:val="0"/>
    <w:rPr>
      <w:sz w:val="21"/>
      <w:szCs w:val="21"/>
    </w:rPr>
  </w:style>
  <w:style w:type="character" w:customStyle="1" w:styleId="16">
    <w:name w:val="纯文本 字符"/>
    <w:basedOn w:val="13"/>
    <w:link w:val="6"/>
    <w:qFormat/>
    <w:uiPriority w:val="0"/>
    <w:rPr>
      <w:rFonts w:ascii="宋体" w:hAnsi="Courier New" w:eastAsia="仿宋_GB2312" w:cs="Courier New"/>
      <w:kern w:val="2"/>
      <w:sz w:val="32"/>
      <w:szCs w:val="21"/>
    </w:rPr>
  </w:style>
  <w:style w:type="paragraph" w:customStyle="1" w:styleId="17">
    <w:name w:val="_Style 9"/>
    <w:basedOn w:val="1"/>
    <w:next w:val="18"/>
    <w:qFormat/>
    <w:uiPriority w:val="99"/>
    <w:pPr>
      <w:ind w:firstLine="420" w:firstLineChars="200"/>
    </w:pPr>
    <w:rPr>
      <w:rFonts w:ascii="Times New Roman" w:hAnsi="Times New Roman" w:eastAsia="宋体" w:cs="Times New Roman"/>
      <w:szCs w:val="21"/>
    </w:rPr>
  </w:style>
  <w:style w:type="paragraph" w:styleId="18">
    <w:name w:val="List Paragraph"/>
    <w:basedOn w:val="1"/>
    <w:qFormat/>
    <w:uiPriority w:val="99"/>
    <w:pPr>
      <w:ind w:firstLine="420" w:firstLineChars="200"/>
    </w:pPr>
  </w:style>
  <w:style w:type="paragraph" w:customStyle="1" w:styleId="19">
    <w:name w:val="Other|1"/>
    <w:basedOn w:val="1"/>
    <w:qFormat/>
    <w:uiPriority w:val="0"/>
    <w:pPr>
      <w:widowControl w:val="0"/>
      <w:shd w:val="clear" w:color="auto" w:fill="auto"/>
      <w:spacing w:line="420" w:lineRule="auto"/>
      <w:ind w:firstLine="400"/>
    </w:pPr>
    <w:rPr>
      <w:rFonts w:ascii="宋体" w:hAnsi="宋体" w:eastAsia="宋体" w:cs="宋体"/>
      <w:sz w:val="30"/>
      <w:szCs w:val="30"/>
      <w:u w:val="none"/>
      <w:shd w:val="clear" w:color="auto" w:fill="auto"/>
      <w:lang w:val="zh-TW" w:eastAsia="zh-TW" w:bidi="zh-TW"/>
    </w:rPr>
  </w:style>
  <w:style w:type="paragraph" w:customStyle="1" w:styleId="20">
    <w:name w:val="Body text|1"/>
    <w:basedOn w:val="1"/>
    <w:qFormat/>
    <w:uiPriority w:val="0"/>
    <w:pPr>
      <w:widowControl w:val="0"/>
      <w:shd w:val="clear" w:color="auto" w:fill="auto"/>
      <w:spacing w:line="420" w:lineRule="auto"/>
      <w:ind w:firstLine="400"/>
    </w:pPr>
    <w:rPr>
      <w:rFonts w:ascii="宋体" w:hAnsi="宋体" w:eastAsia="宋体" w:cs="宋体"/>
      <w:sz w:val="30"/>
      <w:szCs w:val="30"/>
      <w:u w:val="none"/>
      <w:shd w:val="clear" w:color="auto" w:fill="auto"/>
      <w:lang w:val="zh-TW" w:eastAsia="zh-TW" w:bidi="zh-TW"/>
    </w:rPr>
  </w:style>
  <w:style w:type="paragraph" w:customStyle="1" w:styleId="21">
    <w:name w:val="Heading #3|1"/>
    <w:basedOn w:val="1"/>
    <w:qFormat/>
    <w:uiPriority w:val="0"/>
    <w:pPr>
      <w:widowControl w:val="0"/>
      <w:shd w:val="clear" w:color="auto" w:fill="auto"/>
      <w:spacing w:after="1620" w:line="1018" w:lineRule="exact"/>
      <w:jc w:val="center"/>
      <w:outlineLvl w:val="2"/>
    </w:pPr>
    <w:rPr>
      <w:rFonts w:ascii="宋体" w:hAnsi="宋体" w:eastAsia="宋体" w:cs="宋体"/>
      <w:sz w:val="50"/>
      <w:szCs w:val="50"/>
      <w:u w:val="none"/>
      <w:shd w:val="clear" w:color="auto" w:fill="auto"/>
      <w:lang w:val="zh-TW" w:eastAsia="zh-TW" w:bidi="zh-TW"/>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10</Pages>
  <Words>3285</Words>
  <Characters>3296</Characters>
  <Lines>30</Lines>
  <Paragraphs>8</Paragraphs>
  <TotalTime>5</TotalTime>
  <ScaleCrop>false</ScaleCrop>
  <LinksUpToDate>false</LinksUpToDate>
  <CharactersWithSpaces>3353</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2021-12-06T07:33:00Z</dcterms:created>
  <dc:creator>t</dc:creator>
  <cp:lastModifiedBy>thtf</cp:lastModifiedBy>
  <cp:lastPrinted>2021-10-28T03:30:00Z</cp:lastPrinted>
  <dcterms:modified xsi:type="dcterms:W3CDTF">2022-11-17T11:16:51Z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490C2ABB635C433CBB20168B68D2FCB7</vt:lpwstr>
  </property>
</Properties>
</file>