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jc w:val="both"/>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spacing w:line="590" w:lineRule="exact"/>
        <w:jc w:val="both"/>
        <w:textAlignment w:val="auto"/>
        <w:rPr>
          <w:rFonts w:hint="eastAsia" w:ascii="Times New Roman" w:hAnsi="Times New Roman" w:eastAsia="方正小标宋_GBK" w:cs="Times New Roman"/>
          <w:bCs/>
          <w:color w:val="000000"/>
          <w:sz w:val="44"/>
          <w:szCs w:val="44"/>
          <w:lang w:val="en-US" w:eastAsia="zh-CN"/>
        </w:rPr>
      </w:pP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ascii="Times New Roman" w:hAnsi="Times New Roman" w:eastAsia="方正小标宋_GBK" w:cs="Times New Roman"/>
          <w:bCs/>
          <w:color w:val="000000"/>
          <w:sz w:val="44"/>
          <w:szCs w:val="44"/>
          <w:lang w:val="en-US" w:eastAsia="zh-CN"/>
        </w:rPr>
      </w:pPr>
      <w:r>
        <w:rPr>
          <w:rFonts w:hint="eastAsia" w:ascii="Times New Roman" w:hAnsi="Times New Roman" w:eastAsia="方正小标宋_GBK" w:cs="Times New Roman"/>
          <w:bCs/>
          <w:color w:val="000000"/>
          <w:sz w:val="44"/>
          <w:szCs w:val="44"/>
          <w:lang w:val="en-US" w:eastAsia="zh-CN"/>
        </w:rPr>
        <w:t>关于印发落实《国家组织药品集中采购政策</w:t>
      </w: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ascii="Times New Roman" w:hAnsi="Times New Roman" w:eastAsia="方正小标宋_GBK" w:cs="Times New Roman"/>
          <w:bCs/>
          <w:color w:val="000000"/>
          <w:sz w:val="44"/>
          <w:szCs w:val="44"/>
          <w:lang w:val="en-US" w:eastAsia="zh-CN"/>
        </w:rPr>
      </w:pPr>
      <w:r>
        <w:rPr>
          <w:rFonts w:hint="eastAsia" w:ascii="Times New Roman" w:hAnsi="Times New Roman" w:eastAsia="方正小标宋_GBK" w:cs="Times New Roman"/>
          <w:bCs/>
          <w:color w:val="000000"/>
          <w:sz w:val="44"/>
          <w:szCs w:val="44"/>
          <w:lang w:val="en-US" w:eastAsia="zh-CN"/>
        </w:rPr>
        <w:t>医保资金结余留用实施办法》的通知（试行）</w:t>
      </w: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芜医保〔2021〕7号</w:t>
      </w: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ascii="Times New Roman" w:hAnsi="Times New Roman" w:eastAsia="方正仿宋_GBK" w:cs="Times New Roman"/>
          <w:color w:val="000000"/>
          <w:sz w:val="32"/>
          <w:szCs w:val="32"/>
        </w:rPr>
      </w:pP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各县市区医保局、经开区人社局、三山经开区医疗卫生局、财政局，市药管中心、市医保中心、各相关医疗机构：</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为全面贯彻落实国家组织药品集中采购政策，提升医疗机构参与药品集中带量采购工作积极性，增强联动改革效应，根据国家医保局 财政部《关于国家组织药品集中采购工作中医保资金结余留用的指导意见》（医保发〔2020〕26号）和省医保局 财政厅《关于贯彻落实国家组织药品集中采购工作中医保资金结余留用政策的实施意见》（皖医保秘〔2020〕88号）精神，结合我市实际，制定以下实施办法：</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一、实行集采药品医保资金专项预算管理</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各级医保部门在对定点医疗机构的总额预算或总额控制指标内，对纳入国家组织集中釆购的医保目录内药品（以下简称“集釆药品"），在釆购周期内按年度实施医保资金预算管理，范围仅限城镇职工、城乡居民门诊慢性病及城乡居民普通门诊使用的集采药品。医保资金预算具体计算公式为：</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集釆药品医保资金专项预算额=中选产品约定釆购量×集采前中选产品平均价格×上年度医保基金实际支付比例×上年度集釆中选产品参保患者使用量占比</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1．</w:t>
      </w:r>
      <w:r>
        <w:rPr>
          <w:rFonts w:hint="eastAsia" w:ascii="Times New Roman" w:hAnsi="Times New Roman" w:eastAsia="方正仿宋_GBK" w:cs="Times New Roman"/>
          <w:color w:val="000000"/>
          <w:kern w:val="0"/>
          <w:sz w:val="32"/>
          <w:szCs w:val="32"/>
          <w:lang w:val="en-US" w:eastAsia="zh-CN"/>
        </w:rPr>
        <w:t>中选产品约定釆购量（各级医保局提供）。指定点医疗机构集采药品约定采购量，中选产品约定采购量和约定使用比例以执行各批次集采药品中选结果的通知为准。</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集采前中选产品平均价格（市医保局提供）,指集采药品集采前价格。根据上年度集采前网上实际采购平均价格，供各统筹地区参考使用。</w:t>
      </w: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集采前中选产品平均价格＝上年度集采前网上中选药品采购总金额/上年度药品采购总数量</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3</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医保统筹基金实际支付比例（各级医保经办部门提供）,指集采前上年度医保统筹基金实际支付比例。集采药品因降价而节约的药品费用当中，非医保统筹基金支付部分，不实行结余留用。各县（市）区应根据上年度所辖定点医疗机构的医保结算数据确定。</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4</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集采中选产品参保患者使用量占比（各级医保经办部门提供）,指定点医疗机构所在地的参保患者集采中选产品使用量占该集采药品使用量的比例。各县（市）区应根据上年度所辖定点医疗机构的医保结算数据确定。</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二、核定结余留用金额</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根据定点医疗机构中选产品约定采购量和中选价格，以及医保统筹基金实际支付比例和集采中选产品参保患者使用量占比等因素，计算定点医疗机构集采药品医保支出金额，低于集采药品医保资金预算的部分，即为结余留用金额。具体计算公式为：</w:t>
      </w: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结余测算基数=集采药品医保资金预算－（中选产品约定釆购量×中选价格）×当年度医保基金实际支付比例×当年度集采中选产品参保患者使用量占比其中，中选产品约定釆购量（各级医保局提供）；中选价格（市医保局提供）为集釆药品中选结果。</w:t>
      </w: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结余留用金额=结余测算基数×结余留用比例</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三、实施集采药品专项考核</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考核内容：包括执行药品集中采购相关规定、合理控制药品费用和落实集采、价格等改革政策情况（见附件）。</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考核方式：各级医保局负责牵头做好辖区定点公立医疗机构的打分，市属公立医疗机构打分由市药管中心牵头负责。各级医保经办机构负责根据得分对医保基金结余留用金额进行测算，并完成对辖区定点公立医疗机构结余留用基金的拨付。已实施医共体总额预算支付方式改革的县（区）除外。</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3</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结果运用：根据考核内容及分值进行评分，总分80分及以上为优秀，由统筹地区按结余测算基数的50%向定点医疗机构支付结余留用医保资金；60（含60）-80分为合格, 由统筹地区按结余测算基数的25%向定点医疗机构支付结余留用医保资金；总分60分以下为不合格，不予支付结余留用医保资金。</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四、规范结余留用资金管理</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color w:val="000000"/>
          <w:kern w:val="2"/>
          <w:sz w:val="32"/>
          <w:szCs w:val="32"/>
          <w:lang w:val="en-US" w:eastAsia="zh-CN"/>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结算留用资金。集釆药品结余留用支出列入基本医疗保险待遇支出科目，各级医保经办机构对考核合格的医 疗机构按年度进行支付。</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bCs w:val="0"/>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规范资金使用。定点医疗机构要完善内部考核分配办法，根据考核结果分配结余留用资金，主要用于相关人员绩效，激励其合理用药、优先使用中选产品。定点医疗机构要按照要求做好财务核算，接受相关部门审计核查，提升精细化管理水平。</w:t>
      </w: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五、工作要求</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bCs w:val="0"/>
          <w:color w:val="000000"/>
          <w:kern w:val="2"/>
          <w:sz w:val="32"/>
          <w:szCs w:val="32"/>
          <w:lang w:val="en-US" w:eastAsia="zh-CN"/>
        </w:rPr>
        <w:t>1</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各级医保部门要根据本实施方案，会同财政部门落实医疗机构结余留用政策，做好集釆药品医保资金预算管理、 定点医疗机构考核、结余留用资金核定和结算等工作。</w:t>
      </w:r>
    </w:p>
    <w:p>
      <w:pPr>
        <w:keepNext w:val="0"/>
        <w:keepLines w:val="0"/>
        <w:pageBreakBefore w:val="0"/>
        <w:widowControl w:val="0"/>
        <w:kinsoku/>
        <w:wordWrap/>
        <w:overflowPunct/>
        <w:topLinePunct w:val="0"/>
        <w:autoSpaceDE/>
        <w:autoSpaceDN/>
        <w:bidi w:val="0"/>
        <w:spacing w:line="590" w:lineRule="exact"/>
        <w:ind w:firstLine="642"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bCs w:val="0"/>
          <w:color w:val="000000"/>
          <w:kern w:val="2"/>
          <w:sz w:val="32"/>
          <w:szCs w:val="32"/>
          <w:lang w:val="en-US" w:eastAsia="zh-CN"/>
        </w:rPr>
        <w:t>2</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各医保经办机构会同定点医疗机构加强资金管理使用，充分发挥结余留用医保资金激励约束作用，进一步规范集釆药品釆购、 使用和回款工作，如实填报约定釆购量、优先使用中选药品、 严格履行协议约定，实现集采药品结余留用医保资金的最大化。</w:t>
      </w:r>
    </w:p>
    <w:p>
      <w:pPr>
        <w:keepNext w:val="0"/>
        <w:keepLines w:val="0"/>
        <w:pageBreakBefore w:val="0"/>
        <w:widowControl w:val="0"/>
        <w:kinsoku/>
        <w:wordWrap/>
        <w:overflowPunct/>
        <w:topLinePunct w:val="0"/>
        <w:autoSpaceDE/>
        <w:autoSpaceDN/>
        <w:bidi w:val="0"/>
        <w:spacing w:line="590" w:lineRule="exact"/>
        <w:ind w:firstLine="321" w:firstLineChars="1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b/>
          <w:bCs w:val="0"/>
          <w:color w:val="000000"/>
          <w:kern w:val="2"/>
          <w:sz w:val="32"/>
          <w:szCs w:val="32"/>
          <w:lang w:val="en-US" w:eastAsia="zh-CN"/>
        </w:rPr>
        <w:t>3</w:t>
      </w:r>
      <w:r>
        <w:rPr>
          <w:rFonts w:ascii="Times New Roman" w:hAnsi="Times New Roman" w:eastAsia="方正仿宋_GBK" w:cs="Times New Roman"/>
          <w:b/>
          <w:sz w:val="32"/>
          <w:szCs w:val="32"/>
        </w:rPr>
        <w:t>．</w:t>
      </w:r>
      <w:r>
        <w:rPr>
          <w:rFonts w:hint="eastAsia" w:ascii="Times New Roman" w:hAnsi="Times New Roman" w:eastAsia="方正仿宋_GBK" w:cs="Times New Roman"/>
          <w:color w:val="000000"/>
          <w:kern w:val="0"/>
          <w:sz w:val="32"/>
          <w:szCs w:val="32"/>
          <w:lang w:val="en-US" w:eastAsia="zh-CN"/>
        </w:rPr>
        <w:t>各级医保部门要切实加强集釆药品医保资金结余留用工作的宣传引导，做好结余留用、中选药品医保支付标准调整、医保支付方式改革、财政补助等相关政策的衔接， 避免重复补偿，确保工作实效。</w:t>
      </w: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Times New Roman" w:hAnsi="Times New Roman" w:eastAsia="方正仿宋_GBK" w:cs="Times New Roman"/>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附件：定点公立医疗机构考核指标及分值</w:t>
      </w:r>
    </w:p>
    <w:p>
      <w:pPr>
        <w:keepNext w:val="0"/>
        <w:keepLines w:val="0"/>
        <w:pageBreakBefore w:val="0"/>
        <w:widowControl w:val="0"/>
        <w:kinsoku/>
        <w:wordWrap/>
        <w:overflowPunct/>
        <w:topLinePunct w:val="0"/>
        <w:autoSpaceDE/>
        <w:autoSpaceDN/>
        <w:bidi w:val="0"/>
        <w:spacing w:line="590" w:lineRule="exact"/>
        <w:textAlignment w:val="auto"/>
        <w:rPr>
          <w:rFonts w:hint="eastAsia" w:ascii="Times New Roman" w:hAnsi="Times New Roman" w:eastAsia="方正仿宋_GBK" w:cs="Times New Roman"/>
          <w:color w:val="000000"/>
          <w:kern w:val="0"/>
          <w:sz w:val="32"/>
          <w:szCs w:val="32"/>
          <w:lang w:val="en-US" w:eastAsia="zh-CN"/>
        </w:rPr>
      </w:pPr>
    </w:p>
    <w:p>
      <w:pPr>
        <w:keepNext w:val="0"/>
        <w:keepLines w:val="0"/>
        <w:pageBreakBefore w:val="0"/>
        <w:widowControl w:val="0"/>
        <w:kinsoku/>
        <w:wordWrap w:val="0"/>
        <w:overflowPunct/>
        <w:topLinePunct w:val="0"/>
        <w:autoSpaceDE/>
        <w:autoSpaceDN/>
        <w:bidi w:val="0"/>
        <w:spacing w:line="590" w:lineRule="exact"/>
        <w:jc w:val="right"/>
        <w:textAlignment w:val="auto"/>
        <w:rPr>
          <w:rFonts w:hint="default"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 xml:space="preserve">芜湖市医疗保障局     </w:t>
      </w:r>
    </w:p>
    <w:p>
      <w:pPr>
        <w:keepNext w:val="0"/>
        <w:keepLines w:val="0"/>
        <w:pageBreakBefore w:val="0"/>
        <w:widowControl w:val="0"/>
        <w:kinsoku/>
        <w:wordWrap w:val="0"/>
        <w:overflowPunct/>
        <w:topLinePunct w:val="0"/>
        <w:autoSpaceDE/>
        <w:autoSpaceDN/>
        <w:bidi w:val="0"/>
        <w:spacing w:line="590" w:lineRule="exact"/>
        <w:jc w:val="right"/>
        <w:textAlignment w:val="auto"/>
        <w:rPr>
          <w:rFonts w:hint="default" w:ascii="方正仿宋_GBK" w:hAnsi="方正仿宋_GBK" w:eastAsia="方正仿宋_GBK" w:cs="方正仿宋_GBK"/>
          <w:sz w:val="32"/>
          <w:szCs w:val="32"/>
          <w:lang w:val="en-US" w:eastAsia="zh-CN" w:bidi="ar"/>
        </w:rPr>
      </w:pPr>
      <w:r>
        <w:rPr>
          <w:rFonts w:hint="eastAsia" w:ascii="方正仿宋_GBK" w:hAnsi="方正仿宋_GBK" w:eastAsia="方正仿宋_GBK" w:cs="方正仿宋_GBK"/>
          <w:sz w:val="32"/>
          <w:szCs w:val="32"/>
          <w:lang w:val="en-US" w:eastAsia="zh-CN" w:bidi="ar"/>
        </w:rPr>
        <w:t xml:space="preserve">芜湖市财政局     </w:t>
      </w:r>
    </w:p>
    <w:p>
      <w:pPr>
        <w:keepNext w:val="0"/>
        <w:keepLines w:val="0"/>
        <w:pageBreakBefore w:val="0"/>
        <w:widowControl w:val="0"/>
        <w:kinsoku/>
        <w:wordWrap w:val="0"/>
        <w:overflowPunct/>
        <w:topLinePunct w:val="0"/>
        <w:autoSpaceDE/>
        <w:autoSpaceDN/>
        <w:bidi w:val="0"/>
        <w:spacing w:line="590" w:lineRule="exact"/>
        <w:jc w:val="right"/>
        <w:textAlignment w:val="auto"/>
        <w:rPr>
          <w:rFonts w:hint="default" w:ascii="方正仿宋_GBK" w:hAnsi="方正仿宋_GBK" w:eastAsia="方正仿宋_GBK" w:cs="方正仿宋_GBK"/>
          <w:sz w:val="32"/>
          <w:szCs w:val="32"/>
          <w:lang w:val="en-US" w:eastAsia="zh-CN" w:bidi="ar"/>
        </w:rPr>
      </w:pPr>
      <w:r>
        <w:rPr>
          <w:rFonts w:hint="eastAsia" w:ascii="Times New Roman" w:hAnsi="Times New Roman" w:eastAsia="方正仿宋_GBK" w:cs="Times New Roman"/>
          <w:color w:val="000000"/>
          <w:kern w:val="0"/>
          <w:sz w:val="32"/>
          <w:szCs w:val="32"/>
          <w:lang w:val="en-US" w:eastAsia="zh-CN"/>
        </w:rPr>
        <w:t>2021</w:t>
      </w:r>
      <w:r>
        <w:rPr>
          <w:rFonts w:hint="eastAsia" w:ascii="方正仿宋_GBK" w:hAnsi="方正仿宋_GBK" w:eastAsia="方正仿宋_GBK" w:cs="方正仿宋_GBK"/>
          <w:sz w:val="32"/>
          <w:szCs w:val="32"/>
          <w:lang w:val="en-US" w:eastAsia="zh-CN" w:bidi="ar"/>
        </w:rPr>
        <w:t>年</w:t>
      </w:r>
      <w:r>
        <w:rPr>
          <w:rFonts w:hint="eastAsia" w:ascii="Times New Roman" w:hAnsi="Times New Roman" w:eastAsia="方正仿宋_GBK" w:cs="Times New Roman"/>
          <w:color w:val="000000"/>
          <w:kern w:val="0"/>
          <w:sz w:val="32"/>
          <w:szCs w:val="32"/>
          <w:lang w:val="en-US" w:eastAsia="zh-CN"/>
        </w:rPr>
        <w:t>1</w:t>
      </w:r>
      <w:r>
        <w:rPr>
          <w:rFonts w:hint="eastAsia" w:ascii="方正仿宋_GBK" w:hAnsi="方正仿宋_GBK" w:eastAsia="方正仿宋_GBK" w:cs="方正仿宋_GBK"/>
          <w:sz w:val="32"/>
          <w:szCs w:val="32"/>
          <w:lang w:val="en-US" w:eastAsia="zh-CN" w:bidi="ar"/>
        </w:rPr>
        <w:t>月</w:t>
      </w:r>
      <w:r>
        <w:rPr>
          <w:rFonts w:hint="eastAsia" w:ascii="Times New Roman" w:hAnsi="Times New Roman" w:eastAsia="方正仿宋_GBK" w:cs="Times New Roman"/>
          <w:color w:val="000000"/>
          <w:kern w:val="0"/>
          <w:sz w:val="32"/>
          <w:szCs w:val="32"/>
          <w:lang w:val="en-US" w:eastAsia="zh-CN"/>
        </w:rPr>
        <w:t>28</w:t>
      </w:r>
      <w:r>
        <w:rPr>
          <w:rFonts w:hint="eastAsia" w:ascii="方正仿宋_GBK" w:hAnsi="方正仿宋_GBK" w:eastAsia="方正仿宋_GBK" w:cs="方正仿宋_GBK"/>
          <w:sz w:val="32"/>
          <w:szCs w:val="32"/>
          <w:lang w:val="en-US" w:eastAsia="zh-CN" w:bidi="ar"/>
        </w:rPr>
        <w:t xml:space="preserve">日   </w:t>
      </w:r>
      <w:bookmarkStart w:id="0" w:name="_GoBack"/>
      <w:r>
        <w:rPr>
          <w:rFonts w:hint="eastAsia" w:ascii="方正仿宋_GBK" w:hAnsi="方正仿宋_GBK" w:eastAsia="方正仿宋_GBK" w:cs="方正仿宋_GBK"/>
          <w:sz w:val="32"/>
          <w:szCs w:val="32"/>
          <w:lang w:val="en-US" w:eastAsia="zh-CN" w:bidi="ar"/>
        </w:rPr>
        <w:t xml:space="preserve">  </w:t>
      </w:r>
      <w:bookmarkEnd w:id="0"/>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方正小标宋简体" w:hAnsi="方正小标宋简体" w:eastAsia="方正小标宋简体" w:cs="方正小标宋简体"/>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r>
        <w:rPr>
          <w:rFonts w:hint="default" w:ascii="方正小标宋简体" w:hAnsi="方正小标宋简体" w:eastAsia="方正小标宋简体" w:cs="方正小标宋简体"/>
          <w:kern w:val="2"/>
          <w:sz w:val="44"/>
          <w:szCs w:val="44"/>
          <w:lang w:val="en-US" w:eastAsia="zh-CN" w:bidi="ar"/>
        </w:rPr>
        <w:t>定点公立医疗机构考核指标及分值</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center"/>
        <w:textAlignment w:val="auto"/>
        <w:rPr>
          <w:rFonts w:hint="default" w:ascii="方正小标宋简体" w:hAnsi="方正小标宋简体" w:eastAsia="方正小标宋简体" w:cs="方正小标宋简体"/>
          <w:kern w:val="2"/>
          <w:sz w:val="44"/>
          <w:szCs w:val="44"/>
          <w:lang w:val="en-US" w:eastAsia="zh-CN" w:bidi="ar"/>
        </w:rPr>
      </w:pPr>
    </w:p>
    <w:tbl>
      <w:tblPr>
        <w:tblStyle w:val="8"/>
        <w:tblW w:w="87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 w:type="dxa"/>
          <w:bottom w:w="0" w:type="dxa"/>
          <w:right w:w="10" w:type="dxa"/>
        </w:tblCellMar>
      </w:tblPr>
      <w:tblGrid>
        <w:gridCol w:w="965"/>
        <w:gridCol w:w="2066"/>
        <w:gridCol w:w="752"/>
        <w:gridCol w:w="2340"/>
        <w:gridCol w:w="26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 w:type="dxa"/>
            <w:bottom w:w="0" w:type="dxa"/>
            <w:right w:w="10" w:type="dxa"/>
          </w:tblCellMar>
        </w:tblPrEx>
        <w:trPr>
          <w:trHeight w:val="652" w:hRule="atLeast"/>
          <w:jc w:val="center"/>
        </w:trPr>
        <w:tc>
          <w:tcPr>
            <w:tcW w:w="965" w:type="dxa"/>
            <w:tcBorders>
              <w:top w:val="single" w:color="auto" w:sz="4" w:space="0"/>
              <w:left w:val="single" w:color="auto" w:sz="4" w:space="0"/>
              <w:bottom w:val="nil"/>
              <w:right w:val="nil"/>
            </w:tcBorders>
            <w:shd w:val="clear" w:color="auto" w:fill="FFFFFF"/>
            <w:vAlign w:val="bottom"/>
          </w:tcPr>
          <w:p>
            <w:pPr>
              <w:pStyle w:val="14"/>
              <w:keepNext w:val="0"/>
              <w:keepLines w:val="0"/>
              <w:pageBreakBefore w:val="0"/>
              <w:widowControl/>
              <w:kinsoku/>
              <w:wordWrap/>
              <w:overflowPunct/>
              <w:topLinePunct w:val="0"/>
              <w:autoSpaceDE/>
              <w:autoSpaceDN/>
              <w:bidi w:val="0"/>
              <w:spacing w:line="590" w:lineRule="exact"/>
              <w:ind w:left="0" w:firstLine="0"/>
              <w:jc w:val="center"/>
              <w:textAlignment w:val="auto"/>
              <w:rPr>
                <w:rFonts w:hint="eastAsia" w:ascii="黑体" w:hAnsi="宋体" w:eastAsia="黑体" w:cs="宋体"/>
                <w:kern w:val="2"/>
                <w:sz w:val="32"/>
                <w:szCs w:val="32"/>
              </w:rPr>
            </w:pPr>
            <w:r>
              <w:rPr>
                <w:rFonts w:hint="eastAsia" w:ascii="黑体" w:hAnsi="宋体" w:eastAsia="黑体" w:cs="黑体"/>
                <w:kern w:val="2"/>
                <w:sz w:val="32"/>
                <w:szCs w:val="32"/>
              </w:rPr>
              <w:t>考核内容</w:t>
            </w:r>
          </w:p>
        </w:tc>
        <w:tc>
          <w:tcPr>
            <w:tcW w:w="2066"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center"/>
              <w:textAlignment w:val="auto"/>
              <w:rPr>
                <w:rFonts w:hint="eastAsia" w:ascii="黑体" w:hAnsi="宋体" w:eastAsia="黑体" w:cs="宋体"/>
                <w:kern w:val="2"/>
                <w:sz w:val="32"/>
                <w:szCs w:val="32"/>
              </w:rPr>
            </w:pPr>
            <w:r>
              <w:rPr>
                <w:rFonts w:hint="eastAsia" w:ascii="黑体" w:hAnsi="宋体" w:eastAsia="黑体" w:cs="黑体"/>
                <w:kern w:val="2"/>
                <w:sz w:val="32"/>
                <w:szCs w:val="32"/>
              </w:rPr>
              <w:t>考核指标</w:t>
            </w:r>
          </w:p>
        </w:tc>
        <w:tc>
          <w:tcPr>
            <w:tcW w:w="752"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center"/>
              <w:textAlignment w:val="auto"/>
              <w:rPr>
                <w:rFonts w:hint="eastAsia" w:ascii="黑体" w:hAnsi="宋体" w:eastAsia="黑体" w:cs="宋体"/>
                <w:kern w:val="2"/>
                <w:sz w:val="32"/>
                <w:szCs w:val="32"/>
              </w:rPr>
            </w:pPr>
            <w:r>
              <w:rPr>
                <w:rFonts w:hint="eastAsia" w:ascii="黑体" w:hAnsi="宋体" w:eastAsia="黑体" w:cs="黑体"/>
                <w:kern w:val="2"/>
                <w:sz w:val="32"/>
                <w:szCs w:val="32"/>
              </w:rPr>
              <w:t>分值</w:t>
            </w:r>
          </w:p>
        </w:tc>
        <w:tc>
          <w:tcPr>
            <w:tcW w:w="2340"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center"/>
              <w:textAlignment w:val="auto"/>
              <w:rPr>
                <w:rFonts w:hint="eastAsia" w:ascii="黑体" w:hAnsi="宋体" w:eastAsia="黑体" w:cs="宋体"/>
                <w:kern w:val="2"/>
                <w:sz w:val="32"/>
                <w:szCs w:val="32"/>
              </w:rPr>
            </w:pPr>
            <w:r>
              <w:rPr>
                <w:rFonts w:hint="eastAsia" w:ascii="黑体" w:hAnsi="宋体" w:eastAsia="黑体" w:cs="黑体"/>
                <w:kern w:val="2"/>
                <w:sz w:val="32"/>
                <w:szCs w:val="32"/>
              </w:rPr>
              <w:t>计算公式</w:t>
            </w:r>
          </w:p>
        </w:tc>
        <w:tc>
          <w:tcPr>
            <w:tcW w:w="2674" w:type="dxa"/>
            <w:tcBorders>
              <w:top w:val="single" w:color="auto" w:sz="4" w:space="0"/>
              <w:left w:val="single" w:color="auto" w:sz="4" w:space="0"/>
              <w:bottom w:val="nil"/>
              <w:right w:val="single" w:color="auto" w:sz="4" w:space="0"/>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center"/>
              <w:textAlignment w:val="auto"/>
              <w:rPr>
                <w:rFonts w:hint="eastAsia" w:ascii="黑体" w:hAnsi="宋体" w:eastAsia="黑体" w:cs="宋体"/>
                <w:kern w:val="2"/>
                <w:sz w:val="32"/>
                <w:szCs w:val="32"/>
              </w:rPr>
            </w:pPr>
            <w:r>
              <w:rPr>
                <w:rFonts w:hint="eastAsia" w:ascii="黑体" w:hAnsi="宋体" w:eastAsia="黑体" w:cs="黑体"/>
                <w:kern w:val="2"/>
                <w:sz w:val="32"/>
                <w:szCs w:val="32"/>
              </w:rPr>
              <w:t>考核要求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206" w:hRule="atLeast"/>
          <w:jc w:val="center"/>
        </w:trPr>
        <w:tc>
          <w:tcPr>
            <w:tcW w:w="965" w:type="dxa"/>
            <w:vMerge w:val="restart"/>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执行药品集釆规定</w:t>
            </w:r>
          </w:p>
        </w:tc>
        <w:tc>
          <w:tcPr>
            <w:tcW w:w="2066"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是否按时完成国家组织集中釆购；中选药品的约定釆购量</w:t>
            </w:r>
          </w:p>
        </w:tc>
        <w:tc>
          <w:tcPr>
            <w:tcW w:w="752"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20分</w:t>
            </w:r>
          </w:p>
        </w:tc>
        <w:tc>
          <w:tcPr>
            <w:tcW w:w="2340" w:type="dxa"/>
            <w:tcBorders>
              <w:top w:val="single" w:color="auto" w:sz="4" w:space="0"/>
              <w:left w:val="single" w:color="auto" w:sz="4" w:space="0"/>
              <w:bottom w:val="nil"/>
              <w:right w:val="nil"/>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674" w:type="dxa"/>
            <w:tcBorders>
              <w:top w:val="single" w:color="auto" w:sz="4" w:space="0"/>
              <w:left w:val="single" w:color="auto" w:sz="4" w:space="0"/>
              <w:bottom w:val="nil"/>
              <w:right w:val="single" w:color="auto" w:sz="4" w:space="0"/>
            </w:tcBorders>
            <w:shd w:val="clear" w:color="auto" w:fill="FFFFFF"/>
            <w:vAlign w:val="top"/>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未按时完成约定采购量则不予支付集釆药品医保结余留用资金。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27" w:hRule="atLeast"/>
          <w:jc w:val="center"/>
        </w:trPr>
        <w:tc>
          <w:tcPr>
            <w:tcW w:w="965" w:type="dxa"/>
            <w:vMerge w:val="continue"/>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066"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医疗机构30天回款率</w:t>
            </w:r>
          </w:p>
        </w:tc>
        <w:tc>
          <w:tcPr>
            <w:tcW w:w="752"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15分</w:t>
            </w:r>
          </w:p>
        </w:tc>
        <w:tc>
          <w:tcPr>
            <w:tcW w:w="2340"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30天回款金额/采购金额</w:t>
            </w:r>
          </w:p>
        </w:tc>
        <w:tc>
          <w:tcPr>
            <w:tcW w:w="2674" w:type="dxa"/>
            <w:tcBorders>
              <w:top w:val="single" w:color="auto" w:sz="4" w:space="0"/>
              <w:left w:val="single" w:color="auto" w:sz="4" w:space="0"/>
              <w:bottom w:val="nil"/>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按照协议约定回款期限考核，超过回款期限一次扣3 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08" w:hRule="atLeast"/>
          <w:jc w:val="center"/>
        </w:trPr>
        <w:tc>
          <w:tcPr>
            <w:tcW w:w="965" w:type="dxa"/>
            <w:vMerge w:val="restart"/>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合理控制药品费用</w:t>
            </w:r>
          </w:p>
        </w:tc>
        <w:tc>
          <w:tcPr>
            <w:tcW w:w="2066"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定点医疗机构药品费用增长率</w:t>
            </w:r>
          </w:p>
        </w:tc>
        <w:tc>
          <w:tcPr>
            <w:tcW w:w="752"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15分</w:t>
            </w:r>
          </w:p>
        </w:tc>
        <w:tc>
          <w:tcPr>
            <w:tcW w:w="2340"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本年度药品支出额/上一年度药品支出额</w:t>
            </w:r>
          </w:p>
        </w:tc>
        <w:tc>
          <w:tcPr>
            <w:tcW w:w="2674" w:type="dxa"/>
            <w:tcBorders>
              <w:top w:val="single" w:color="auto" w:sz="4" w:space="0"/>
              <w:left w:val="single" w:color="auto" w:sz="4" w:space="0"/>
              <w:bottom w:val="nil"/>
              <w:right w:val="single" w:color="auto" w:sz="4" w:space="0"/>
            </w:tcBorders>
            <w:shd w:val="clear" w:color="auto" w:fill="FFFFFF"/>
            <w:vAlign w:val="top"/>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合理控制医疗机构药费总额的增长，增长率10%及以内的不扣分；&gt;10%的每增加1个百分点， 扣1分，扣完为止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703" w:hRule="atLeast"/>
          <w:jc w:val="center"/>
        </w:trPr>
        <w:tc>
          <w:tcPr>
            <w:tcW w:w="965" w:type="dxa"/>
            <w:vMerge w:val="continue"/>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066"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非中选产品釆购量占比</w:t>
            </w:r>
          </w:p>
        </w:tc>
        <w:tc>
          <w:tcPr>
            <w:tcW w:w="752"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10分</w:t>
            </w:r>
          </w:p>
        </w:tc>
        <w:tc>
          <w:tcPr>
            <w:tcW w:w="2340"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非中选产品釆购量/该通用名中选药品釆购量</w:t>
            </w:r>
          </w:p>
        </w:tc>
        <w:tc>
          <w:tcPr>
            <w:tcW w:w="2674" w:type="dxa"/>
            <w:tcBorders>
              <w:top w:val="single" w:color="auto" w:sz="4" w:space="0"/>
              <w:left w:val="single" w:color="auto" w:sz="4" w:space="0"/>
              <w:bottom w:val="nil"/>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控制非中选产品的适度使用，非中选产品釆购量50%及以内的，不扣分；＞50% 的，每增加1个百分点，扣 1分，扣完为止。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45" w:hRule="atLeast"/>
          <w:jc w:val="center"/>
        </w:trPr>
        <w:tc>
          <w:tcPr>
            <w:tcW w:w="965" w:type="dxa"/>
            <w:vMerge w:val="restart"/>
            <w:tcBorders>
              <w:top w:val="nil"/>
              <w:left w:val="single" w:color="auto" w:sz="4" w:space="0"/>
              <w:bottom w:val="single" w:color="auto" w:sz="4" w:space="0"/>
              <w:right w:val="single" w:color="auto" w:sz="4" w:space="0"/>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落实集 采、价格 等改革 政策</w:t>
            </w:r>
          </w:p>
        </w:tc>
        <w:tc>
          <w:tcPr>
            <w:tcW w:w="2066" w:type="dxa"/>
            <w:tcBorders>
              <w:top w:val="single" w:color="auto" w:sz="4" w:space="0"/>
              <w:left w:val="nil"/>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线下釆购情况</w:t>
            </w:r>
          </w:p>
        </w:tc>
        <w:tc>
          <w:tcPr>
            <w:tcW w:w="752"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20分</w:t>
            </w:r>
          </w:p>
        </w:tc>
        <w:tc>
          <w:tcPr>
            <w:tcW w:w="2340" w:type="dxa"/>
            <w:tcBorders>
              <w:top w:val="single" w:color="auto" w:sz="4" w:space="0"/>
              <w:left w:val="single" w:color="auto" w:sz="4" w:space="0"/>
              <w:bottom w:val="nil"/>
              <w:right w:val="nil"/>
            </w:tcBorders>
            <w:shd w:val="clear" w:color="auto" w:fill="FFFFFF"/>
            <w:vAlign w:val="center"/>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674" w:type="dxa"/>
            <w:tcBorders>
              <w:top w:val="single" w:color="auto" w:sz="4" w:space="0"/>
              <w:left w:val="single" w:color="auto" w:sz="4" w:space="0"/>
              <w:bottom w:val="nil"/>
              <w:right w:val="single" w:color="auto" w:sz="4" w:space="0"/>
            </w:tcBorders>
            <w:shd w:val="clear" w:color="auto" w:fill="FFFFFF"/>
            <w:vAlign w:val="top"/>
          </w:tcPr>
          <w:p>
            <w:pPr>
              <w:pStyle w:val="14"/>
              <w:keepNext w:val="0"/>
              <w:keepLines w:val="0"/>
              <w:pageBreakBefore w:val="0"/>
              <w:widowControl/>
              <w:kinsoku/>
              <w:wordWrap/>
              <w:overflowPunct/>
              <w:topLinePunct w:val="0"/>
              <w:autoSpaceDE/>
              <w:autoSpaceDN/>
              <w:bidi w:val="0"/>
              <w:spacing w:line="590" w:lineRule="exact"/>
              <w:ind w:left="0" w:firstLine="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按要求规范线上釆购、阳光采购，严禁网下交易采购。有网下交易记录的不得分。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253" w:hRule="atLeast"/>
          <w:jc w:val="center"/>
        </w:trPr>
        <w:tc>
          <w:tcPr>
            <w:tcW w:w="965" w:type="dxa"/>
            <w:vMerge w:val="continue"/>
            <w:tcBorders>
              <w:top w:val="nil"/>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066" w:type="dxa"/>
            <w:tcBorders>
              <w:top w:val="single" w:color="auto" w:sz="4" w:space="0"/>
              <w:left w:val="nil"/>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执行集釆政策（如报 量、采购、签约等） 的违规次数</w:t>
            </w:r>
          </w:p>
        </w:tc>
        <w:tc>
          <w:tcPr>
            <w:tcW w:w="752" w:type="dxa"/>
            <w:tcBorders>
              <w:top w:val="single" w:color="auto" w:sz="4" w:space="0"/>
              <w:left w:val="single" w:color="auto" w:sz="4" w:space="0"/>
              <w:bottom w:val="nil"/>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10分</w:t>
            </w:r>
          </w:p>
        </w:tc>
        <w:tc>
          <w:tcPr>
            <w:tcW w:w="2340" w:type="dxa"/>
            <w:tcBorders>
              <w:top w:val="single" w:color="auto" w:sz="4" w:space="0"/>
              <w:left w:val="single" w:color="auto" w:sz="4" w:space="0"/>
              <w:bottom w:val="nil"/>
              <w:right w:val="nil"/>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674" w:type="dxa"/>
            <w:tcBorders>
              <w:top w:val="single" w:color="auto" w:sz="4" w:space="0"/>
              <w:left w:val="single" w:color="auto" w:sz="4" w:space="0"/>
              <w:bottom w:val="nil"/>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未如实报量一次扣2分；未规范签约一次扣2分，存在不配合集釆工作的，发现一起扣2分，扣完为止。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3" w:hRule="atLeast"/>
          <w:jc w:val="center"/>
        </w:trPr>
        <w:tc>
          <w:tcPr>
            <w:tcW w:w="965" w:type="dxa"/>
            <w:vMerge w:val="continue"/>
            <w:tcBorders>
              <w:top w:val="nil"/>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066" w:type="dxa"/>
            <w:tcBorders>
              <w:top w:val="single" w:color="auto" w:sz="4" w:space="0"/>
              <w:left w:val="nil"/>
              <w:bottom w:val="single" w:color="auto" w:sz="4" w:space="0"/>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价格违规次数</w:t>
            </w:r>
          </w:p>
        </w:tc>
        <w:tc>
          <w:tcPr>
            <w:tcW w:w="752" w:type="dxa"/>
            <w:tcBorders>
              <w:top w:val="single" w:color="auto" w:sz="4" w:space="0"/>
              <w:left w:val="single" w:color="auto" w:sz="4" w:space="0"/>
              <w:bottom w:val="single" w:color="auto" w:sz="4" w:space="0"/>
              <w:right w:val="nil"/>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5分</w:t>
            </w:r>
          </w:p>
        </w:tc>
        <w:tc>
          <w:tcPr>
            <w:tcW w:w="2340" w:type="dxa"/>
            <w:tcBorders>
              <w:top w:val="single" w:color="auto" w:sz="4" w:space="0"/>
              <w:left w:val="single" w:color="auto" w:sz="4" w:space="0"/>
              <w:bottom w:val="single" w:color="auto" w:sz="4" w:space="0"/>
              <w:right w:val="nil"/>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674" w:type="dxa"/>
            <w:tcBorders>
              <w:top w:val="single" w:color="auto" w:sz="4" w:space="0"/>
              <w:left w:val="single" w:color="auto" w:sz="4" w:space="0"/>
              <w:bottom w:val="nil"/>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严格执行医保政策，按实际服务数量收费，公开透明，医保部门处罚一次扣1分。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908" w:hRule="atLeast"/>
          <w:jc w:val="center"/>
        </w:trPr>
        <w:tc>
          <w:tcPr>
            <w:tcW w:w="965" w:type="dxa"/>
            <w:vMerge w:val="continue"/>
            <w:tcBorders>
              <w:top w:val="nil"/>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066" w:type="dxa"/>
            <w:tcBorders>
              <w:top w:val="single" w:color="auto" w:sz="4" w:space="0"/>
              <w:left w:val="nil"/>
              <w:bottom w:val="single" w:color="auto" w:sz="4" w:space="0"/>
              <w:right w:val="single" w:color="auto"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集釆中选药品的规范流转</w:t>
            </w:r>
          </w:p>
        </w:tc>
        <w:tc>
          <w:tcPr>
            <w:tcW w:w="752" w:type="dxa"/>
            <w:tcBorders>
              <w:top w:val="single" w:color="auto" w:sz="4" w:space="0"/>
              <w:left w:val="nil"/>
              <w:bottom w:val="single" w:color="auto" w:sz="4" w:space="0"/>
              <w:right w:val="single" w:color="auto" w:sz="4" w:space="0"/>
            </w:tcBorders>
            <w:shd w:val="clear" w:color="auto" w:fill="FFFFFF"/>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5分</w:t>
            </w:r>
          </w:p>
        </w:tc>
        <w:tc>
          <w:tcPr>
            <w:tcW w:w="2340" w:type="dxa"/>
            <w:tcBorders>
              <w:top w:val="single" w:color="auto" w:sz="4" w:space="0"/>
              <w:left w:val="nil"/>
              <w:bottom w:val="single" w:color="auto" w:sz="4" w:space="0"/>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p>
        </w:tc>
        <w:tc>
          <w:tcPr>
            <w:tcW w:w="2674" w:type="dxa"/>
            <w:tcBorders>
              <w:top w:val="single" w:color="auto" w:sz="4" w:space="0"/>
              <w:left w:val="nil"/>
              <w:bottom w:val="single" w:color="auto" w:sz="4" w:space="0"/>
              <w:right w:val="single" w:color="auto" w:sz="4" w:space="0"/>
            </w:tcBorders>
            <w:shd w:val="clear" w:color="auto" w:fill="FFFFFF"/>
            <w:vAlign w:val="top"/>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590" w:lineRule="exact"/>
              <w:ind w:left="0" w:right="0"/>
              <w:jc w:val="both"/>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医疗机构不得串换或转卖集釆中选药品，如有违规发现一起该项不得分。</w:t>
            </w:r>
          </w:p>
        </w:tc>
      </w:tr>
    </w:tbl>
    <w:p>
      <w:pPr>
        <w:keepNext w:val="0"/>
        <w:keepLines w:val="0"/>
        <w:pageBreakBefore w:val="0"/>
        <w:widowControl w:val="0"/>
        <w:kinsoku/>
        <w:wordWrap/>
        <w:overflowPunct/>
        <w:topLinePunct w:val="0"/>
        <w:autoSpaceDE/>
        <w:autoSpaceDN/>
        <w:bidi w:val="0"/>
        <w:adjustRightInd w:val="0"/>
        <w:snapToGrid w:val="0"/>
        <w:spacing w:line="590" w:lineRule="exact"/>
        <w:jc w:val="both"/>
        <w:textAlignment w:val="auto"/>
        <w:rPr>
          <w:rFonts w:hint="eastAsia" w:ascii="楷体_GB2312" w:hAnsi="楷体_GB2312" w:eastAsia="楷体_GB2312" w:cs="楷体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楷体_GB2312" w:hAnsi="楷体_GB2312" w:eastAsia="楷体_GB2312" w:cs="楷体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eastAsia" w:ascii="楷体_GB2312" w:hAnsi="楷体_GB2312" w:eastAsia="楷体_GB2312" w:cs="楷体_GB2312"/>
          <w:color w:val="000000"/>
          <w:sz w:val="18"/>
          <w:szCs w:val="18"/>
        </w:rPr>
      </w:pP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ascii="楷体_GB2312" w:hAnsi="楷体_GB2312" w:eastAsia="楷体_GB2312" w:cs="楷体_GB2312"/>
          <w:color w:val="00000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5"/>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kZGZkMWI1MDczOGRlMWZlMTA5YWFkZjMzMDhkOTYifQ=="/>
  </w:docVars>
  <w:rsids>
    <w:rsidRoot w:val="00172A27"/>
    <w:rsid w:val="000B75E5"/>
    <w:rsid w:val="00103799"/>
    <w:rsid w:val="00172A27"/>
    <w:rsid w:val="00197EF1"/>
    <w:rsid w:val="001D5673"/>
    <w:rsid w:val="0032660F"/>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1078C7"/>
    <w:rsid w:val="019E71BD"/>
    <w:rsid w:val="032B6C3A"/>
    <w:rsid w:val="033E332C"/>
    <w:rsid w:val="04B679C3"/>
    <w:rsid w:val="052B2C5E"/>
    <w:rsid w:val="05900B27"/>
    <w:rsid w:val="0645738C"/>
    <w:rsid w:val="07D34838"/>
    <w:rsid w:val="080F63D8"/>
    <w:rsid w:val="087A5962"/>
    <w:rsid w:val="09341458"/>
    <w:rsid w:val="0B0912D7"/>
    <w:rsid w:val="0DCD726B"/>
    <w:rsid w:val="0EE3051E"/>
    <w:rsid w:val="104A7615"/>
    <w:rsid w:val="1277193D"/>
    <w:rsid w:val="138959E3"/>
    <w:rsid w:val="152D2DCA"/>
    <w:rsid w:val="153913E2"/>
    <w:rsid w:val="17DB6A12"/>
    <w:rsid w:val="1C9857AE"/>
    <w:rsid w:val="1D582A22"/>
    <w:rsid w:val="1DD97D69"/>
    <w:rsid w:val="1DEC284C"/>
    <w:rsid w:val="1E6523AC"/>
    <w:rsid w:val="1FFA7124"/>
    <w:rsid w:val="22440422"/>
    <w:rsid w:val="245C67FB"/>
    <w:rsid w:val="26D1527F"/>
    <w:rsid w:val="2A5C1C3C"/>
    <w:rsid w:val="2E9C2BDF"/>
    <w:rsid w:val="2F113003"/>
    <w:rsid w:val="31A15F24"/>
    <w:rsid w:val="31B72082"/>
    <w:rsid w:val="343F0891"/>
    <w:rsid w:val="395347B5"/>
    <w:rsid w:val="398E534A"/>
    <w:rsid w:val="39A232A0"/>
    <w:rsid w:val="39E745AA"/>
    <w:rsid w:val="3B5A6BBB"/>
    <w:rsid w:val="3EDA13A6"/>
    <w:rsid w:val="3FC82FE6"/>
    <w:rsid w:val="3FF21DD0"/>
    <w:rsid w:val="41B26AD1"/>
    <w:rsid w:val="42F058B7"/>
    <w:rsid w:val="436109F6"/>
    <w:rsid w:val="441A38D4"/>
    <w:rsid w:val="447A10D3"/>
    <w:rsid w:val="494553A6"/>
    <w:rsid w:val="4A5162EE"/>
    <w:rsid w:val="4B0A0B56"/>
    <w:rsid w:val="4BC77339"/>
    <w:rsid w:val="4C9236C5"/>
    <w:rsid w:val="4D7F0CE1"/>
    <w:rsid w:val="4EF65AD6"/>
    <w:rsid w:val="4FF97471"/>
    <w:rsid w:val="505C172E"/>
    <w:rsid w:val="50E023DF"/>
    <w:rsid w:val="52C74409"/>
    <w:rsid w:val="52F46F0B"/>
    <w:rsid w:val="53D8014D"/>
    <w:rsid w:val="5550603F"/>
    <w:rsid w:val="558621A4"/>
    <w:rsid w:val="55A56411"/>
    <w:rsid w:val="55E064E0"/>
    <w:rsid w:val="5660369E"/>
    <w:rsid w:val="572C6D10"/>
    <w:rsid w:val="5A295176"/>
    <w:rsid w:val="5A557999"/>
    <w:rsid w:val="5A865B01"/>
    <w:rsid w:val="5BE74621"/>
    <w:rsid w:val="5DC34279"/>
    <w:rsid w:val="5E6006BB"/>
    <w:rsid w:val="608816D1"/>
    <w:rsid w:val="60EF4E7F"/>
    <w:rsid w:val="63161C90"/>
    <w:rsid w:val="63194632"/>
    <w:rsid w:val="632B726B"/>
    <w:rsid w:val="665233C1"/>
    <w:rsid w:val="67750F81"/>
    <w:rsid w:val="6AD45862"/>
    <w:rsid w:val="6AD9688B"/>
    <w:rsid w:val="6AEE1AB5"/>
    <w:rsid w:val="6C681542"/>
    <w:rsid w:val="6CA17F77"/>
    <w:rsid w:val="6D0E3F22"/>
    <w:rsid w:val="6F2B6B62"/>
    <w:rsid w:val="6FBC5506"/>
    <w:rsid w:val="722A4E10"/>
    <w:rsid w:val="737C3597"/>
    <w:rsid w:val="73826795"/>
    <w:rsid w:val="74F1485B"/>
    <w:rsid w:val="7BC462D5"/>
    <w:rsid w:val="7C9011D9"/>
    <w:rsid w:val="7DA140E9"/>
    <w:rsid w:val="7DC651C5"/>
    <w:rsid w:val="7FCC2834"/>
    <w:rsid w:val="B8DEB6B5"/>
    <w:rsid w:val="C7B5F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 w:type="paragraph" w:customStyle="1" w:styleId="14">
    <w:name w:val="Other|1"/>
    <w:basedOn w:val="1"/>
    <w:qFormat/>
    <w:uiPriority w:val="0"/>
    <w:pPr>
      <w:keepNext w:val="0"/>
      <w:keepLines w:val="0"/>
      <w:widowControl w:val="0"/>
      <w:suppressLineNumbers w:val="0"/>
      <w:spacing w:before="0" w:beforeAutospacing="0" w:after="0" w:afterAutospacing="0" w:line="436" w:lineRule="auto"/>
      <w:ind w:left="0" w:right="0" w:firstLine="400"/>
      <w:jc w:val="both"/>
    </w:pPr>
    <w:rPr>
      <w:rFonts w:hint="eastAsia" w:ascii="宋体" w:hAnsi="宋体" w:eastAsia="宋体" w:cs="宋体"/>
      <w:kern w:val="2"/>
      <w:sz w:val="30"/>
      <w:szCs w:val="3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2489</Words>
  <Characters>2531</Characters>
  <Lines>1</Lines>
  <Paragraphs>1</Paragraphs>
  <TotalTime>19</TotalTime>
  <ScaleCrop>false</ScaleCrop>
  <LinksUpToDate>false</LinksUpToDate>
  <CharactersWithSpaces>2563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2021-12-04T23:33:00Z</dcterms:created>
  <dc:creator>t</dc:creator>
  <cp:lastModifiedBy>thtf</cp:lastModifiedBy>
  <cp:lastPrinted>2021-10-26T19:30:00Z</cp:lastPrinted>
  <dcterms:modified xsi:type="dcterms:W3CDTF">2022-11-17T14:43:58Z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