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0" w:lineRule="exact"/>
        <w:ind w:left="0" w:leftChars="0"/>
        <w:jc w:val="left"/>
        <w:textAlignment w:val="auto"/>
        <w:rPr>
          <w:rFonts w:hint="eastAsia" w:ascii="方正小标宋简体" w:hAnsi="方正小标宋简体" w:eastAsia="方正小标宋简体" w:cs="方正小标宋简体"/>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ind w:left="0" w:leftChars="0"/>
        <w:jc w:val="left"/>
        <w:textAlignment w:val="auto"/>
        <w:rPr>
          <w:rFonts w:hint="eastAsia" w:ascii="方正小标宋简体" w:hAnsi="方正小标宋简体" w:eastAsia="方正小标宋简体" w:cs="方正小标宋简体"/>
          <w:sz w:val="44"/>
          <w:szCs w:val="44"/>
          <w:highlight w:val="none"/>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90" w:lineRule="exact"/>
        <w:ind w:right="0"/>
        <w:jc w:val="center"/>
        <w:textAlignment w:val="auto"/>
        <w:rPr>
          <w:rFonts w:hint="eastAsia" w:ascii="方正小标宋_GBK" w:hAnsi="方正小标宋_GBK" w:eastAsia="方正小标宋_GBK" w:cs="方正小标宋_GBK"/>
          <w:b w:val="0"/>
          <w:bCs w:val="0"/>
          <w:i w:val="0"/>
          <w:iCs w:val="0"/>
          <w:caps w:val="0"/>
          <w:color w:val="auto"/>
          <w:spacing w:val="5"/>
          <w:sz w:val="44"/>
          <w:szCs w:val="44"/>
          <w:shd w:val="clear" w:color="auto" w:fill="FFFFFF"/>
        </w:rPr>
      </w:pPr>
      <w:r>
        <w:rPr>
          <w:rFonts w:hint="eastAsia" w:ascii="方正小标宋_GBK" w:hAnsi="方正小标宋_GBK" w:eastAsia="方正小标宋_GBK" w:cs="方正小标宋_GBK"/>
          <w:b w:val="0"/>
          <w:bCs w:val="0"/>
          <w:i w:val="0"/>
          <w:iCs w:val="0"/>
          <w:caps w:val="0"/>
          <w:color w:val="auto"/>
          <w:spacing w:val="5"/>
          <w:sz w:val="44"/>
          <w:szCs w:val="44"/>
          <w:shd w:val="clear" w:color="auto" w:fill="FFFFFF"/>
        </w:rPr>
        <w:t>关于调整特殊针具针法等医疗服务项目价格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90" w:lineRule="exact"/>
        <w:ind w:right="0"/>
        <w:jc w:val="center"/>
        <w:textAlignment w:val="auto"/>
        <w:rPr>
          <w:rFonts w:hint="eastAsia" w:ascii="方正小标宋_GBK" w:hAnsi="方正小标宋_GBK" w:eastAsia="方正小标宋_GBK" w:cs="方正小标宋_GBK"/>
          <w:b w:val="0"/>
          <w:bCs w:val="0"/>
          <w:i w:val="0"/>
          <w:iCs w:val="0"/>
          <w:caps w:val="0"/>
          <w:color w:val="auto"/>
          <w:spacing w:val="5"/>
          <w:sz w:val="44"/>
          <w:szCs w:val="44"/>
          <w:shd w:val="clear" w:color="auto" w:fill="FFFFFF"/>
        </w:rPr>
      </w:pPr>
      <w:r>
        <w:rPr>
          <w:rFonts w:hint="eastAsia" w:ascii="方正小标宋_GBK" w:hAnsi="方正小标宋_GBK" w:eastAsia="方正小标宋_GBK" w:cs="方正小标宋_GBK"/>
          <w:b w:val="0"/>
          <w:bCs w:val="0"/>
          <w:i w:val="0"/>
          <w:iCs w:val="0"/>
          <w:caps w:val="0"/>
          <w:color w:val="auto"/>
          <w:spacing w:val="5"/>
          <w:sz w:val="44"/>
          <w:szCs w:val="44"/>
          <w:shd w:val="clear" w:color="auto" w:fill="FFFFFF"/>
        </w:rPr>
        <w:t>的通知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90" w:lineRule="exact"/>
        <w:ind w:right="0"/>
        <w:jc w:val="center"/>
        <w:textAlignment w:val="auto"/>
        <w:rPr>
          <w:rFonts w:hint="eastAsia"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芜</w:t>
      </w:r>
      <w:r>
        <w:rPr>
          <w:rFonts w:hint="eastAsia" w:ascii="Times New Roman" w:hAnsi="Times New Roman" w:eastAsia="方正仿宋_GBK" w:cs="Times New Roman"/>
          <w:color w:val="000000"/>
          <w:sz w:val="32"/>
          <w:szCs w:val="32"/>
          <w:lang w:eastAsia="zh-CN"/>
        </w:rPr>
        <w:t>医保</w:t>
      </w:r>
      <w:r>
        <w:rPr>
          <w:rFonts w:hint="eastAsia" w:ascii="Times New Roman" w:hAnsi="Times New Roman" w:eastAsia="方正仿宋_GBK" w:cs="Times New Roman"/>
          <w:color w:val="000000"/>
          <w:sz w:val="32"/>
          <w:szCs w:val="32"/>
        </w:rPr>
        <w:t>〔</w:t>
      </w:r>
      <w:r>
        <w:rPr>
          <w:rFonts w:hint="default" w:ascii="Times New Roman" w:hAnsi="Times New Roman" w:eastAsia="方正仿宋_GBK" w:cs="Times New Roman"/>
          <w:color w:val="000000"/>
          <w:sz w:val="32"/>
          <w:szCs w:val="32"/>
        </w:rPr>
        <w:t>20</w:t>
      </w:r>
      <w:r>
        <w:rPr>
          <w:rFonts w:hint="default" w:ascii="Times New Roman" w:hAnsi="Times New Roman" w:eastAsia="方正仿宋_GBK" w:cs="Times New Roman"/>
          <w:color w:val="000000"/>
          <w:sz w:val="32"/>
          <w:szCs w:val="32"/>
          <w:lang w:val="en-US" w:eastAsia="zh-CN"/>
        </w:rPr>
        <w:t>2</w:t>
      </w:r>
      <w:r>
        <w:rPr>
          <w:rFonts w:hint="eastAsia" w:ascii="Times New Roman" w:hAnsi="Times New Roman" w:eastAsia="方正仿宋_GBK" w:cs="Times New Roman"/>
          <w:color w:val="000000"/>
          <w:sz w:val="32"/>
          <w:szCs w:val="32"/>
          <w:lang w:val="en-US" w:eastAsia="zh-CN"/>
        </w:rPr>
        <w:t>6</w:t>
      </w:r>
      <w:r>
        <w:rPr>
          <w:rFonts w:hint="eastAsia"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lang w:val="en-US" w:eastAsia="zh-CN"/>
        </w:rPr>
        <w:t>21</w:t>
      </w:r>
      <w:r>
        <w:rPr>
          <w:rFonts w:hint="eastAsia" w:ascii="Times New Roman" w:hAnsi="Times New Roman" w:eastAsia="方正仿宋_GBK" w:cs="Times New Roman"/>
          <w:color w:val="000000"/>
          <w:sz w:val="32"/>
          <w:szCs w:val="32"/>
        </w:rPr>
        <w:t>号</w:t>
      </w:r>
    </w:p>
    <w:p>
      <w:pPr>
        <w:pStyle w:val="2"/>
        <w:keepNext w:val="0"/>
        <w:keepLines w:val="0"/>
        <w:pageBreakBefore w:val="0"/>
        <w:widowControl w:val="0"/>
        <w:kinsoku/>
        <w:wordWrap/>
        <w:overflowPunct/>
        <w:topLinePunct w:val="0"/>
        <w:autoSpaceDE/>
        <w:autoSpaceDN/>
        <w:bidi w:val="0"/>
        <w:adjustRightInd/>
        <w:snapToGrid/>
        <w:spacing w:line="590" w:lineRule="exact"/>
        <w:ind w:leftChars="0" w:firstLine="420"/>
        <w:jc w:val="left"/>
        <w:textAlignment w:val="auto"/>
        <w:rPr>
          <w:rFonts w:hint="eastAsia"/>
          <w:lang w:val="en-US" w:eastAsia="zh-CN"/>
        </w:rPr>
      </w:pPr>
    </w:p>
    <w:p>
      <w:pPr>
        <w:pStyle w:val="2"/>
        <w:keepNext w:val="0"/>
        <w:keepLines w:val="0"/>
        <w:pageBreakBefore w:val="0"/>
        <w:kinsoku/>
        <w:overflowPunct/>
        <w:topLinePunct w:val="0"/>
        <w:autoSpaceDE/>
        <w:autoSpaceDN/>
        <w:bidi w:val="0"/>
        <w:spacing w:line="590" w:lineRule="exact"/>
        <w:ind w:left="0" w:leftChars="0" w:firstLine="0" w:firstLineChars="0"/>
        <w:jc w:val="left"/>
        <w:textAlignment w:val="auto"/>
        <w:rPr>
          <w:rFonts w:hint="default" w:ascii="Times New Roman" w:hAnsi="Times New Roman" w:eastAsia="方正仿宋_GBK" w:cs="Times New Roman"/>
          <w:i w:val="0"/>
          <w:iCs w:val="0"/>
          <w:caps w:val="0"/>
          <w:color w:val="auto"/>
          <w:spacing w:val="5"/>
          <w:kern w:val="0"/>
          <w:sz w:val="32"/>
          <w:szCs w:val="32"/>
          <w:shd w:val="clear" w:color="auto" w:fill="FFFFFF"/>
          <w:lang w:val="en-US" w:eastAsia="zh-CN" w:bidi="ar"/>
        </w:rPr>
      </w:pPr>
      <w:r>
        <w:rPr>
          <w:rFonts w:hint="default" w:ascii="Times New Roman" w:hAnsi="Times New Roman" w:eastAsia="方正仿宋_GBK" w:cs="Times New Roman"/>
          <w:i w:val="0"/>
          <w:iCs w:val="0"/>
          <w:caps w:val="0"/>
          <w:color w:val="auto"/>
          <w:spacing w:val="5"/>
          <w:kern w:val="0"/>
          <w:sz w:val="32"/>
          <w:szCs w:val="32"/>
          <w:shd w:val="clear" w:color="auto" w:fill="FFFFFF"/>
          <w:lang w:val="en-US" w:eastAsia="zh-CN" w:bidi="ar"/>
        </w:rPr>
        <w:t>各县市区医保分局、直属分局，局属各事业单位，各公立医疗机构：</w:t>
      </w:r>
    </w:p>
    <w:p>
      <w:pPr>
        <w:pStyle w:val="2"/>
        <w:keepNext w:val="0"/>
        <w:keepLines w:val="0"/>
        <w:pageBreakBefore w:val="0"/>
        <w:kinsoku/>
        <w:overflowPunct/>
        <w:topLinePunct w:val="0"/>
        <w:autoSpaceDE/>
        <w:autoSpaceDN/>
        <w:bidi w:val="0"/>
        <w:spacing w:line="590" w:lineRule="exact"/>
        <w:ind w:leftChars="0" w:firstLine="660" w:firstLineChars="200"/>
        <w:jc w:val="left"/>
        <w:textAlignment w:val="auto"/>
        <w:rPr>
          <w:rFonts w:hint="default" w:ascii="Times New Roman" w:hAnsi="Times New Roman" w:eastAsia="方正仿宋_GBK" w:cs="Times New Roman"/>
          <w:i w:val="0"/>
          <w:iCs w:val="0"/>
          <w:caps w:val="0"/>
          <w:color w:val="auto"/>
          <w:spacing w:val="5"/>
          <w:kern w:val="0"/>
          <w:sz w:val="32"/>
          <w:szCs w:val="32"/>
          <w:shd w:val="clear" w:color="auto" w:fill="FFFFFF"/>
          <w:lang w:val="en-US" w:eastAsia="zh-CN" w:bidi="ar"/>
        </w:rPr>
      </w:pPr>
      <w:r>
        <w:rPr>
          <w:rFonts w:hint="default" w:ascii="Times New Roman" w:hAnsi="Times New Roman" w:eastAsia="方正仿宋_GBK" w:cs="Times New Roman"/>
          <w:i w:val="0"/>
          <w:iCs w:val="0"/>
          <w:caps w:val="0"/>
          <w:color w:val="auto"/>
          <w:spacing w:val="5"/>
          <w:kern w:val="0"/>
          <w:sz w:val="32"/>
          <w:szCs w:val="32"/>
          <w:shd w:val="clear" w:color="auto" w:fill="FFFFFF"/>
          <w:lang w:val="en-US" w:eastAsia="zh-CN" w:bidi="ar"/>
        </w:rPr>
        <w:t>根据芜湖市医疗保障局芜湖市卫生健康委员会芜湖市财政局芜湖市市场监督管理局《</w:t>
      </w:r>
      <w:bookmarkStart w:id="0" w:name="_GoBack"/>
      <w:bookmarkEnd w:id="0"/>
      <w:r>
        <w:rPr>
          <w:rFonts w:hint="default" w:ascii="Times New Roman" w:hAnsi="Times New Roman" w:eastAsia="方正仿宋_GBK" w:cs="Times New Roman"/>
          <w:i w:val="0"/>
          <w:iCs w:val="0"/>
          <w:caps w:val="0"/>
          <w:color w:val="auto"/>
          <w:spacing w:val="5"/>
          <w:kern w:val="0"/>
          <w:sz w:val="32"/>
          <w:szCs w:val="32"/>
          <w:shd w:val="clear" w:color="auto" w:fill="FFFFFF"/>
          <w:lang w:val="en-US" w:eastAsia="zh-CN" w:bidi="ar"/>
        </w:rPr>
        <w:t>关于印发芜湖市医疗服务价格动态调整机制的通知》（芜医保〔2024〕24号），按照“总量控制、结构调整”以及支持中医发展的原则，组织公立医疗机构申报部分技术劳务价值高、长期未调整、价格矛盾突出的项目，依据医疗服务价格管理相关规定，经部门会商、专家论证、公开征求意见、集体审议等程序，对特殊针具针法等医疗服务项目价格实施调整，现就有关事项通知如下：</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Chars="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调整特殊针具针法、阴道分娩（常规）等21项医疗服务项目价格，具体内容见附件。调整后价格为市属三级公立医疗机构最高收费标准，其中“中医刮痧”“常规针法”“特殊手法法”“悬空灸”“中医拔罐”“头面部疾病推拿”“脊柱部位疾病拿”“背部疾病推拿”“髋骶部疾病推拿”“脏腑疾病推拿”“针刀（钩活）疗法”11个中医类项目，二级和一级公立医疗机构不设等级医院价差，其余项目分别下浮10%和15%，支付类型继续按原政策执行。</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各医疗机构要严格执行调整后的医疗服务项目价格，落实好住院费用清单、明码标价等相关规定，规范医疗服务收费行为，自觉接受社会监督。</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三、各相关单位按照职责分工做好本通知涉及价格项目医保信息系统数据库更新维护工作。</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本通知自印发之日起执行，既往政策规定与本通知不一致的，以本通知为准。如遇国家或省出台新政策，按新政策执行。</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jc w:val="left"/>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附件：调整后特殊针具针法等医疗服务项目价格表</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jc w:val="left"/>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jc w:val="left"/>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590" w:lineRule="exact"/>
        <w:ind w:leftChars="0" w:firstLine="640" w:firstLineChars="200"/>
        <w:jc w:val="righ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sz w:val="32"/>
          <w:szCs w:val="32"/>
        </w:rPr>
        <w:t>芜湖市医疗保障局</w:t>
      </w:r>
      <w:r>
        <w:rPr>
          <w:rFonts w:hint="eastAsia" w:ascii="Times New Roman" w:hAnsi="Times New Roman" w:eastAsia="方正仿宋_GBK" w:cs="Times New Roman"/>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90" w:lineRule="exact"/>
        <w:ind w:left="0" w:leftChars="0" w:firstLine="660" w:firstLineChars="200"/>
        <w:jc w:val="right"/>
        <w:textAlignment w:val="auto"/>
        <w:rPr>
          <w:rFonts w:hint="default" w:ascii="Times New Roman" w:hAnsi="Times New Roman" w:eastAsia="方正仿宋_GBK" w:cs="Times New Roman"/>
          <w:lang w:val="en-US"/>
        </w:rPr>
      </w:pPr>
      <w:r>
        <w:rPr>
          <w:rFonts w:hint="default" w:ascii="Times New Roman" w:hAnsi="Times New Roman" w:eastAsia="方正仿宋_GBK" w:cs="Times New Roman"/>
          <w:i w:val="0"/>
          <w:iCs w:val="0"/>
          <w:caps w:val="0"/>
          <w:color w:val="auto"/>
          <w:spacing w:val="5"/>
          <w:kern w:val="0"/>
          <w:sz w:val="32"/>
          <w:szCs w:val="32"/>
          <w:shd w:val="clear" w:color="auto" w:fill="FFFFFF"/>
          <w:lang w:val="en-US" w:eastAsia="zh-CN" w:bidi="ar"/>
        </w:rPr>
        <w:t>2026年7月1日</w:t>
      </w:r>
      <w:r>
        <w:rPr>
          <w:rFonts w:hint="eastAsia" w:ascii="Times New Roman" w:hAnsi="Times New Roman" w:eastAsia="方正仿宋_GBK" w:cs="Times New Roman"/>
          <w:i w:val="0"/>
          <w:iCs w:val="0"/>
          <w:caps w:val="0"/>
          <w:color w:val="auto"/>
          <w:spacing w:val="5"/>
          <w:kern w:val="0"/>
          <w:sz w:val="32"/>
          <w:szCs w:val="32"/>
          <w:shd w:val="clear" w:color="auto" w:fill="FFFFFF"/>
          <w:lang w:val="en-US" w:eastAsia="zh-CN" w:bidi="ar"/>
        </w:rPr>
        <w:t xml:space="preserve"> </w:t>
      </w:r>
      <w:r>
        <w:rPr>
          <w:rFonts w:hint="eastAsia" w:ascii="Times New Roman" w:hAnsi="Times New Roman" w:eastAsia="方正仿宋_GBK" w:cs="Times New Roman"/>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仿宋_GB2312"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仿宋_GB2312" w:cs="Times New Roman"/>
          <w:lang w:eastAsia="zh-CN"/>
        </w:rPr>
      </w:pP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仿宋_GB2312" w:cs="Times New Roman"/>
          <w:lang w:eastAsia="zh-CN"/>
        </w:rPr>
      </w:pP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仿宋_GB2312" w:cs="Times New Roman"/>
          <w:lang w:eastAsia="zh-CN"/>
        </w:rPr>
      </w:pPr>
    </w:p>
    <w:p>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left"/>
        <w:textAlignment w:val="auto"/>
        <w:rPr>
          <w:rFonts w:hint="default" w:ascii="Times New Roman" w:hAnsi="Times New Roman" w:eastAsia="仿宋_GB2312" w:cs="Times New Roman"/>
          <w:lang w:eastAsia="zh-CN"/>
        </w:rPr>
      </w:pPr>
    </w:p>
    <w:p>
      <w:pPr>
        <w:pStyle w:val="8"/>
        <w:rPr>
          <w:rFonts w:hint="default" w:ascii="Times New Roman" w:hAnsi="Times New Roman" w:eastAsia="仿宋_GB2312" w:cs="Times New Roman"/>
          <w:lang w:eastAsia="zh-CN"/>
        </w:rPr>
      </w:pPr>
    </w:p>
    <w:p>
      <w:pPr>
        <w:keepNext w:val="0"/>
        <w:keepLines w:val="0"/>
        <w:pageBreakBefore w:val="0"/>
        <w:widowControl w:val="0"/>
        <w:kinsoku/>
        <w:wordWrap/>
        <w:overflowPunct/>
        <w:topLinePunct w:val="0"/>
        <w:autoSpaceDE/>
        <w:autoSpaceDN/>
        <w:bidi w:val="0"/>
        <w:adjustRightInd/>
        <w:snapToGrid/>
        <w:spacing w:line="590" w:lineRule="exact"/>
        <w:ind w:left="0" w:leftChars="0" w:firstLine="0" w:firstLineChars="0"/>
        <w:jc w:val="left"/>
        <w:textAlignment w:val="auto"/>
        <w:rPr>
          <w:rFonts w:hint="default" w:ascii="Times New Roman" w:hAnsi="Times New Roman" w:eastAsia="方正小标宋简体" w:cs="Times New Roman"/>
          <w:sz w:val="44"/>
          <w:szCs w:val="44"/>
          <w:lang w:eastAsia="zh-CN"/>
        </w:rPr>
      </w:pPr>
    </w:p>
    <w:p>
      <w:pPr>
        <w:pStyle w:val="8"/>
        <w:rPr>
          <w:rFonts w:hint="eastAsia"/>
          <w:lang w:val="en-US" w:eastAsia="zh-CN"/>
        </w:rPr>
      </w:pPr>
    </w:p>
    <w:p>
      <w:pPr>
        <w:keepNext w:val="0"/>
        <w:keepLines w:val="0"/>
        <w:pageBreakBefore w:val="0"/>
        <w:wordWrap/>
        <w:overflowPunct/>
        <w:topLinePunct w:val="0"/>
        <w:bidi w:val="0"/>
        <w:spacing w:line="590" w:lineRule="exact"/>
        <w:rPr>
          <w:rFonts w:hint="default"/>
        </w:rPr>
        <w:sectPr>
          <w:headerReference r:id="rId3" w:type="default"/>
          <w:footerReference r:id="rId4" w:type="default"/>
          <w:pgSz w:w="11906" w:h="16838"/>
          <w:pgMar w:top="1962" w:right="1474" w:bottom="1474" w:left="1587" w:header="850" w:footer="0" w:gutter="0"/>
          <w:pgNumType w:fmt="numberInDash"/>
          <w:cols w:space="0" w:num="1"/>
          <w:rtlGutter w:val="0"/>
          <w:docGrid w:type="lines" w:linePitch="446" w:charSpace="0"/>
        </w:sectPr>
      </w:pPr>
    </w:p>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pPr>
        <w:pStyle w:val="8"/>
        <w:rPr>
          <w:rFonts w:hint="eastAsia"/>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调整后特殊针具针法等医疗服务项目价格表</w:t>
      </w:r>
    </w:p>
    <w:p>
      <w:pPr>
        <w:pStyle w:val="8"/>
        <w:rPr>
          <w:rFonts w:hint="eastAsia"/>
        </w:rPr>
      </w:pPr>
    </w:p>
    <w:tbl>
      <w:tblPr>
        <w:tblStyle w:val="13"/>
        <w:tblW w:w="147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1875"/>
        <w:gridCol w:w="1606"/>
        <w:gridCol w:w="2759"/>
        <w:gridCol w:w="2791"/>
        <w:gridCol w:w="694"/>
        <w:gridCol w:w="760"/>
        <w:gridCol w:w="2221"/>
        <w:gridCol w:w="638"/>
        <w:gridCol w:w="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42"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leftChars="0" w:right="0" w:rightChars="0"/>
              <w:jc w:val="center"/>
              <w:textAlignment w:val="center"/>
              <w:rPr>
                <w:rFonts w:hint="eastAsia" w:ascii="黑体" w:hAnsi="宋体" w:eastAsia="黑体" w:cs="黑体"/>
                <w:color w:val="000000"/>
                <w:spacing w:val="0"/>
                <w:kern w:val="0"/>
                <w:sz w:val="22"/>
                <w:szCs w:val="22"/>
              </w:rPr>
            </w:pPr>
            <w:r>
              <w:rPr>
                <w:rFonts w:hint="eastAsia" w:ascii="宋体" w:hAnsi="宋体" w:eastAsia="宋体" w:cs="宋体"/>
                <w:b/>
                <w:bCs/>
                <w:i w:val="0"/>
                <w:iCs w:val="0"/>
                <w:snapToGrid/>
                <w:color w:val="000000"/>
                <w:spacing w:val="0"/>
                <w:kern w:val="0"/>
                <w:sz w:val="22"/>
                <w:szCs w:val="22"/>
                <w:lang w:val="en-US" w:eastAsia="zh-CN" w:bidi="ar"/>
              </w:rPr>
              <w:t>序号</w:t>
            </w: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leftChars="0" w:right="0" w:rightChars="0"/>
              <w:jc w:val="center"/>
              <w:textAlignment w:val="center"/>
              <w:rPr>
                <w:rFonts w:hint="eastAsia" w:ascii="黑体" w:hAnsi="宋体" w:eastAsia="黑体" w:cs="黑体"/>
                <w:color w:val="000000"/>
                <w:spacing w:val="0"/>
                <w:kern w:val="0"/>
                <w:sz w:val="22"/>
                <w:szCs w:val="22"/>
              </w:rPr>
            </w:pPr>
            <w:r>
              <w:rPr>
                <w:rFonts w:hint="eastAsia" w:ascii="宋体" w:hAnsi="宋体" w:eastAsia="宋体" w:cs="宋体"/>
                <w:b/>
                <w:bCs/>
                <w:i w:val="0"/>
                <w:iCs w:val="0"/>
                <w:snapToGrid/>
                <w:color w:val="000000"/>
                <w:spacing w:val="0"/>
                <w:kern w:val="0"/>
                <w:sz w:val="22"/>
                <w:szCs w:val="22"/>
                <w:lang w:val="en-US" w:eastAsia="zh-CN" w:bidi="ar"/>
              </w:rPr>
              <w:t>项目代码</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leftChars="0" w:right="0" w:rightChars="0"/>
              <w:jc w:val="center"/>
              <w:textAlignment w:val="center"/>
              <w:rPr>
                <w:rFonts w:hint="eastAsia" w:ascii="黑体" w:hAnsi="宋体" w:eastAsia="黑体" w:cs="黑体"/>
                <w:color w:val="000000"/>
                <w:spacing w:val="0"/>
                <w:kern w:val="0"/>
                <w:sz w:val="22"/>
                <w:szCs w:val="22"/>
              </w:rPr>
            </w:pPr>
            <w:r>
              <w:rPr>
                <w:rFonts w:hint="eastAsia" w:ascii="宋体" w:hAnsi="宋体" w:eastAsia="宋体" w:cs="宋体"/>
                <w:b/>
                <w:bCs/>
                <w:i w:val="0"/>
                <w:iCs w:val="0"/>
                <w:snapToGrid/>
                <w:color w:val="000000"/>
                <w:spacing w:val="0"/>
                <w:kern w:val="0"/>
                <w:sz w:val="22"/>
                <w:szCs w:val="22"/>
                <w:lang w:val="en-US" w:eastAsia="zh-CN" w:bidi="ar"/>
              </w:rPr>
              <w:t>项目名称</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leftChars="0" w:right="0" w:rightChars="0"/>
              <w:jc w:val="center"/>
              <w:textAlignment w:val="center"/>
              <w:rPr>
                <w:rFonts w:hint="eastAsia" w:ascii="黑体" w:hAnsi="宋体" w:eastAsia="黑体" w:cs="黑体"/>
                <w:color w:val="000000"/>
                <w:spacing w:val="0"/>
                <w:kern w:val="0"/>
                <w:sz w:val="22"/>
                <w:szCs w:val="22"/>
              </w:rPr>
            </w:pPr>
            <w:r>
              <w:rPr>
                <w:rFonts w:hint="eastAsia" w:ascii="宋体" w:hAnsi="宋体" w:eastAsia="宋体" w:cs="宋体"/>
                <w:b/>
                <w:bCs/>
                <w:i w:val="0"/>
                <w:iCs w:val="0"/>
                <w:snapToGrid/>
                <w:color w:val="000000"/>
                <w:spacing w:val="0"/>
                <w:kern w:val="0"/>
                <w:sz w:val="22"/>
                <w:szCs w:val="22"/>
                <w:lang w:val="en-US" w:eastAsia="zh-CN" w:bidi="ar"/>
              </w:rPr>
              <w:t>服务产出</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leftChars="0" w:right="0" w:rightChars="0"/>
              <w:jc w:val="center"/>
              <w:textAlignment w:val="center"/>
              <w:rPr>
                <w:rFonts w:hint="eastAsia" w:ascii="黑体" w:hAnsi="宋体" w:eastAsia="黑体" w:cs="黑体"/>
                <w:color w:val="000000"/>
                <w:spacing w:val="0"/>
                <w:kern w:val="0"/>
                <w:sz w:val="22"/>
                <w:szCs w:val="22"/>
              </w:rPr>
            </w:pPr>
            <w:r>
              <w:rPr>
                <w:rFonts w:hint="eastAsia" w:ascii="宋体" w:hAnsi="宋体" w:eastAsia="宋体" w:cs="宋体"/>
                <w:b/>
                <w:bCs/>
                <w:i w:val="0"/>
                <w:iCs w:val="0"/>
                <w:snapToGrid/>
                <w:color w:val="000000"/>
                <w:spacing w:val="0"/>
                <w:kern w:val="0"/>
                <w:sz w:val="22"/>
                <w:szCs w:val="22"/>
                <w:lang w:val="en-US" w:eastAsia="zh-CN" w:bidi="ar"/>
              </w:rPr>
              <w:t>价格构成</w:t>
            </w: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leftChars="0" w:right="0" w:rightChars="0"/>
              <w:jc w:val="center"/>
              <w:textAlignment w:val="center"/>
              <w:rPr>
                <w:rFonts w:hint="eastAsia" w:ascii="黑体" w:hAnsi="宋体" w:eastAsia="黑体" w:cs="黑体"/>
                <w:color w:val="000000"/>
                <w:spacing w:val="0"/>
                <w:kern w:val="0"/>
                <w:sz w:val="22"/>
                <w:szCs w:val="22"/>
              </w:rPr>
            </w:pPr>
            <w:r>
              <w:rPr>
                <w:rFonts w:hint="eastAsia" w:ascii="宋体" w:hAnsi="宋体" w:eastAsia="宋体" w:cs="宋体"/>
                <w:b/>
                <w:bCs/>
                <w:i w:val="0"/>
                <w:iCs w:val="0"/>
                <w:snapToGrid/>
                <w:color w:val="000000"/>
                <w:spacing w:val="0"/>
                <w:kern w:val="0"/>
                <w:sz w:val="22"/>
                <w:szCs w:val="22"/>
                <w:lang w:val="en-US" w:eastAsia="zh-CN" w:bidi="ar"/>
              </w:rPr>
              <w:t>计价单位</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leftChars="0" w:right="0" w:rightChars="0"/>
              <w:jc w:val="center"/>
              <w:textAlignment w:val="center"/>
              <w:rPr>
                <w:rFonts w:hint="eastAsia" w:ascii="黑体" w:hAnsi="宋体" w:eastAsia="黑体" w:cs="黑体"/>
                <w:color w:val="000000"/>
                <w:spacing w:val="0"/>
                <w:kern w:val="0"/>
                <w:sz w:val="22"/>
                <w:szCs w:val="22"/>
              </w:rPr>
            </w:pPr>
            <w:r>
              <w:rPr>
                <w:rFonts w:hint="eastAsia" w:ascii="宋体" w:hAnsi="宋体" w:eastAsia="宋体" w:cs="宋体"/>
                <w:b/>
                <w:bCs/>
                <w:i w:val="0"/>
                <w:iCs w:val="0"/>
                <w:snapToGrid/>
                <w:color w:val="000000"/>
                <w:spacing w:val="0"/>
                <w:kern w:val="0"/>
                <w:sz w:val="22"/>
                <w:szCs w:val="22"/>
                <w:lang w:val="en-US" w:eastAsia="zh-CN" w:bidi="ar"/>
              </w:rPr>
              <w:t>价格（元）</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leftChars="0" w:right="0" w:rightChars="0"/>
              <w:jc w:val="center"/>
              <w:textAlignment w:val="center"/>
              <w:rPr>
                <w:rFonts w:hint="eastAsia" w:ascii="黑体" w:hAnsi="宋体" w:eastAsia="黑体" w:cs="黑体"/>
                <w:color w:val="000000"/>
                <w:spacing w:val="0"/>
                <w:kern w:val="0"/>
                <w:sz w:val="22"/>
                <w:szCs w:val="22"/>
              </w:rPr>
            </w:pPr>
            <w:r>
              <w:rPr>
                <w:rFonts w:hint="eastAsia" w:ascii="宋体" w:hAnsi="宋体" w:eastAsia="宋体" w:cs="宋体"/>
                <w:b/>
                <w:bCs/>
                <w:i w:val="0"/>
                <w:iCs w:val="0"/>
                <w:snapToGrid/>
                <w:color w:val="000000"/>
                <w:spacing w:val="0"/>
                <w:kern w:val="0"/>
                <w:sz w:val="22"/>
                <w:szCs w:val="22"/>
                <w:lang w:val="en-US" w:eastAsia="zh-CN" w:bidi="ar"/>
              </w:rPr>
              <w:t>计价说明</w:t>
            </w: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leftChars="0" w:right="0" w:rightChars="0"/>
              <w:jc w:val="center"/>
              <w:textAlignment w:val="center"/>
              <w:rPr>
                <w:rFonts w:hint="eastAsia" w:ascii="黑体" w:hAnsi="宋体" w:eastAsia="黑体" w:cs="黑体"/>
                <w:color w:val="000000"/>
                <w:spacing w:val="0"/>
                <w:kern w:val="0"/>
                <w:sz w:val="22"/>
                <w:szCs w:val="22"/>
              </w:rPr>
            </w:pPr>
            <w:r>
              <w:rPr>
                <w:rFonts w:hint="eastAsia" w:ascii="宋体" w:hAnsi="宋体" w:eastAsia="宋体" w:cs="宋体"/>
                <w:b/>
                <w:bCs/>
                <w:i w:val="0"/>
                <w:iCs w:val="0"/>
                <w:snapToGrid/>
                <w:color w:val="000000"/>
                <w:spacing w:val="0"/>
                <w:kern w:val="0"/>
                <w:sz w:val="22"/>
                <w:szCs w:val="22"/>
                <w:lang w:val="en-US" w:eastAsia="zh-CN" w:bidi="ar"/>
              </w:rPr>
              <w:t>支付分类</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firstLineChars="0"/>
              <w:jc w:val="center"/>
              <w:textAlignment w:val="center"/>
              <w:rPr>
                <w:rFonts w:hint="eastAsia" w:ascii="宋体" w:hAnsi="宋体" w:eastAsia="宋体" w:cs="宋体"/>
                <w:b/>
                <w:bCs/>
                <w:i w:val="0"/>
                <w:iCs w:val="0"/>
                <w:spacing w:val="0"/>
                <w:kern w:val="0"/>
                <w:sz w:val="22"/>
                <w:szCs w:val="22"/>
              </w:rPr>
            </w:pPr>
            <w:r>
              <w:rPr>
                <w:rFonts w:hint="eastAsia" w:ascii="宋体" w:hAnsi="宋体" w:eastAsia="宋体" w:cs="宋体"/>
                <w:b/>
                <w:bCs/>
                <w:i w:val="0"/>
                <w:iCs w:val="0"/>
                <w:snapToGrid/>
                <w:color w:val="000000"/>
                <w:spacing w:val="0"/>
                <w:kern w:val="0"/>
                <w:sz w:val="22"/>
                <w:szCs w:val="22"/>
                <w:lang w:val="en-US" w:eastAsia="zh-CN" w:bidi="ar"/>
              </w:rPr>
              <w:t>统计</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leftChars="0" w:right="0" w:rightChars="0" w:firstLine="0" w:firstLineChars="0"/>
              <w:jc w:val="center"/>
              <w:textAlignment w:val="center"/>
              <w:rPr>
                <w:rFonts w:hint="eastAsia" w:ascii="黑体" w:hAnsi="宋体" w:eastAsia="黑体" w:cs="黑体"/>
                <w:color w:val="000000"/>
                <w:spacing w:val="0"/>
                <w:kern w:val="0"/>
                <w:sz w:val="22"/>
                <w:szCs w:val="22"/>
              </w:rPr>
            </w:pPr>
            <w:r>
              <w:rPr>
                <w:rFonts w:hint="eastAsia" w:ascii="宋体" w:hAnsi="宋体" w:eastAsia="宋体" w:cs="宋体"/>
                <w:b/>
                <w:bCs/>
                <w:i w:val="0"/>
                <w:iCs w:val="0"/>
                <w:snapToGrid/>
                <w:color w:val="000000"/>
                <w:spacing w:val="0"/>
                <w:kern w:val="0"/>
                <w:sz w:val="22"/>
                <w:szCs w:val="22"/>
                <w:lang w:val="en-US" w:eastAsia="zh-CN" w:bidi="ar"/>
              </w:rPr>
              <w:t>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restart"/>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b/>
                <w:bCs/>
                <w:i w:val="0"/>
                <w:iCs w:val="0"/>
                <w:snapToGrid/>
                <w:color w:val="000000"/>
                <w:spacing w:val="0"/>
                <w:kern w:val="0"/>
                <w:sz w:val="22"/>
                <w:szCs w:val="22"/>
                <w:lang w:val="en-US" w:eastAsia="zh-CN" w:bidi="ar"/>
              </w:rPr>
              <w:t>1</w:t>
            </w: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014100000170000</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中医刮痧</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由医务人员通过刮痧器具和相应的手法，在体表进行反复刮动、摩擦，从发挥促进活血透痧等各类作用。</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所定价格涵盖局部消毒，确定部位、刮拭、清洁，处理用物所需的人力资源和基本物质资源消耗，含设备投入及维护成本。</w:t>
            </w: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57</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014100000170001</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中医刮痧-儿童（加收）</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由医务人员通过刮痧器具和相应的手法，在儿童患者的体表进行反复刮动、摩擦，从发挥促进活血透痧等各类作用。</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30%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restart"/>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b/>
                <w:bCs/>
                <w:i w:val="0"/>
                <w:iCs w:val="0"/>
                <w:snapToGrid/>
                <w:color w:val="000000"/>
                <w:spacing w:val="0"/>
                <w:kern w:val="0"/>
                <w:sz w:val="22"/>
                <w:szCs w:val="22"/>
                <w:lang w:val="en-US" w:eastAsia="zh-CN" w:bidi="ar"/>
              </w:rPr>
              <w:t>2</w:t>
            </w: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014200000010000</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常规针法</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由主治及以下医师根据病情选穴，通过基本手法和辅助手法，以毫针治疗疾病，促进疏通经络，调理脏腑，扶正祛邪。</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所定价格涵盖穴位确定、消毒、选针、进针、行针、留针、出针、必要时行仪器辅助操作等过程中所需的人力资源和基本物质资源消耗，含设备投入及维护成本。</w:t>
            </w: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次•日</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65</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同时采用了常规针法、特殊针具针法、特殊手法针法中的两项或者三项，按收费标准最高的服务项目计费，不叠加计费。</w:t>
            </w: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014200000010001</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常规针法-儿童（加收）</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由主治及以下医师根据儿童病情选穴，通过基本手法和辅助手法，以毫针治疗疾病，促进疏通经络，调理脏腑，扶正祛邪。</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次•日</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30%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014200000010011</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常规针法-主任医师（加收）</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由主任医师根据病情选穴，通过基本手法和辅助手法，以毫针治疗疾病，促进疏通经络，调理脏腑，扶正祛邪。</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次•日</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30%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014200000010012</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常规针法-副主任医师（加收）</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由副主任医师根据病情选穴，通过基本手法和辅助手法，以毫针治疗疾病，促进疏通经络，调理脏腑，扶正祛邪。</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次•日</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20%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restart"/>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b/>
                <w:bCs/>
                <w:i w:val="0"/>
                <w:iCs w:val="0"/>
                <w:snapToGrid/>
                <w:color w:val="000000"/>
                <w:spacing w:val="0"/>
                <w:kern w:val="0"/>
                <w:sz w:val="22"/>
                <w:szCs w:val="22"/>
                <w:lang w:val="en-US" w:eastAsia="zh-CN" w:bidi="ar"/>
              </w:rPr>
              <w:t>3</w:t>
            </w: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014200000020000</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特殊针具针法</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由主治及以下医师根据病情选穴，通过基本手法和辅助手法，以特殊针具治疗疾病，促进疏通经络，调理脏腑，扶正祛邪。</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所定价格涵盖穴位确定、消毒、选针、进针、行针、留针、出针、必要时行仪器辅助操作等过程中所需的人力资源和基本物质资源消耗，含设备投入及维护成本。</w:t>
            </w: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次•日</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80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同时采用了常规针法、特殊针具针法、特殊手法针法中的两项或者三项，按收费标准最高的服务项目计费，不叠加计费。</w:t>
            </w: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2</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014200000020001</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特殊针具针法-儿童（加收）</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由主治及以下医师根据儿童病情选穴，通过基本手法和辅助手法，以特殊针具治疗疾病，促进疏通经络，调理脏腑，扶正祛邪。</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次•日</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30%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2</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014200000020011</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特殊针具针法-主任医师（加收）</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由主任医师根据病情选穴，通过基本手法和辅助手法，以特殊针具治疗疾病，促进疏通经络，调理脏腑，扶正祛邪。</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次•日</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30%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2</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014200000020012</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特殊针具针法-副主任医师（加收）</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由副主任医师根据病情选穴，通过基本手法和辅助手法，以特殊针具治疗疾病，促进疏通经络，调理脏腑，扶正祛邪。</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次•日</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20%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2</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restart"/>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b/>
                <w:bCs/>
                <w:i w:val="0"/>
                <w:iCs w:val="0"/>
                <w:snapToGrid/>
                <w:color w:val="000000"/>
                <w:spacing w:val="0"/>
                <w:kern w:val="0"/>
                <w:sz w:val="22"/>
                <w:szCs w:val="22"/>
                <w:lang w:val="en-US" w:eastAsia="zh-CN" w:bidi="ar"/>
              </w:rPr>
              <w:t>4</w:t>
            </w: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014200000030000</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特殊手法针法</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由主治及以下医师根据病情，采取特殊开穴方法或通过毫针特殊手法，治疗疾病，促进疏通经络，调理脏腑，扶正祛邪。</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所定价格涵盖穴位确定、消毒、选针、进针、行针、留针、出针、必要时行仪器辅助操作等过程中所需的人力资源和基本物质资源消耗，含设备投入及维护成本。</w:t>
            </w: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次•日</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90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同时采用了常规针法、特殊针具针法、特殊手法针法中的两项或者三项，按收费标准最高的服务项目计费，不叠加计费。</w:t>
            </w: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014200000030001</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特殊手法针法-儿童（加收）</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由主治及以下医师根据儿童病情，采取特殊开穴方法或通过毫针特殊手法，治疗疾病，促进疏通经络，调理脏腑，扶正祛邪。</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次•日</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30%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014200000030011</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特殊手法针法-主任医师（加收）</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由主任医师根据病情，采取特殊开穴</w:t>
            </w:r>
            <w:r>
              <w:rPr>
                <w:rFonts w:hint="eastAsia" w:ascii="宋体" w:hAnsi="宋体" w:eastAsia="宋体" w:cs="宋体"/>
                <w:i w:val="0"/>
                <w:iCs w:val="0"/>
                <w:snapToGrid/>
                <w:color w:val="000000"/>
                <w:spacing w:val="-6"/>
                <w:kern w:val="0"/>
                <w:sz w:val="22"/>
                <w:szCs w:val="22"/>
                <w:lang w:val="en-US" w:eastAsia="zh-CN" w:bidi="ar"/>
              </w:rPr>
              <w:t>方法或通过毫针特殊手法，治疗疾病，促进疏通经络，调理脏腑，扶正祛邪。</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次•日</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30%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014200000030012</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特殊手法针法-副主任医师（加收）</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由副主任医师根据病情，采取特殊开穴方法或通过毫针特殊手法，治疗疾病，促进疏通经络，调理脏腑，扶正祛邪。</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次•日</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20%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restart"/>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b/>
                <w:bCs/>
                <w:i w:val="0"/>
                <w:iCs w:val="0"/>
                <w:snapToGrid/>
                <w:color w:val="000000"/>
                <w:spacing w:val="0"/>
                <w:kern w:val="0"/>
                <w:sz w:val="22"/>
                <w:szCs w:val="22"/>
                <w:lang w:val="en-US" w:eastAsia="zh-CN" w:bidi="ar"/>
              </w:rPr>
              <w:t>5</w:t>
            </w: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014400000010000</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悬空灸</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由医务人员将施灸制品与皮肤保持一定距离，通过温和的药力和热力进行治疗，促进疏通经络，调和阴阳，扶正祛邪，达到治疗疾病的目的。</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所定价格涵盖施灸制品制备，点燃，穴位确定，固定或调节距离，熏烤，控制温度，处理用物等所需的人力资源和基本物质资源消耗。</w:t>
            </w: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38</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014400000010001</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悬空灸-儿童（加收）</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由医务人员将施灸制品与儿童皮肤保持一定距离，通过温和的药力和热力进行治疗，促进疏通经络，调和阴阳，扶正祛邪，达到治疗疾病的目的。</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jc w:val="both"/>
              <w:textAlignment w:val="baseline"/>
              <w:rPr>
                <w:rFonts w:hint="eastAsia" w:ascii="黑体" w:hAnsi="宋体" w:eastAsia="黑体" w:cs="黑体"/>
                <w:color w:val="000000"/>
                <w:spacing w:val="0"/>
                <w:kern w:val="0"/>
                <w:sz w:val="44"/>
                <w:szCs w:val="44"/>
              </w:rPr>
            </w:pP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30%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014400000010100</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悬空灸-雷火灸（太乙神针）（扩展）</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由医务人员将雷火灸（太乙神针）制品与皮肤保持一定距离，通过温和的药力和热力进行治疗，促进疏通经络，调和阴阳，扶正祛邪，达到治疗疾病的目的。</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jc w:val="both"/>
              <w:textAlignment w:val="baseline"/>
              <w:rPr>
                <w:rFonts w:hint="eastAsia" w:ascii="黑体" w:hAnsi="宋体" w:eastAsia="黑体" w:cs="黑体"/>
                <w:color w:val="000000"/>
                <w:spacing w:val="0"/>
                <w:kern w:val="0"/>
                <w:sz w:val="44"/>
                <w:szCs w:val="44"/>
              </w:rPr>
            </w:pP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38</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restart"/>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b/>
                <w:bCs/>
                <w:i w:val="0"/>
                <w:iCs w:val="0"/>
                <w:snapToGrid/>
                <w:color w:val="000000"/>
                <w:spacing w:val="0"/>
                <w:kern w:val="0"/>
                <w:sz w:val="22"/>
                <w:szCs w:val="22"/>
                <w:lang w:val="en-US" w:eastAsia="zh-CN" w:bidi="ar"/>
              </w:rPr>
              <w:t>6</w:t>
            </w: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014400000050000</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中医拔罐</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由医务人员以罐为工具，利用各类方式方法使之吸附于体表的固定部位进行治疗，促进通经活络，行气活血，祛风散寒。</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所定价格可以涵盖清洁，罐具吸附，观察，撤罐，处理用物所需的人力资源和基本物质资源消耗。</w:t>
            </w: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35</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同一次治疗用几种罐具不叠加收费。</w:t>
            </w: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014400000050001</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中医拔罐-药物罐（加收）</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由医务人员以药物罐为工具，利用各类方式方法使之吸附于体表的固定部位进行治疗，促进通经活络，行气活血，祛风散寒。</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20%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014400000050002</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中医拔罐-水罐（加收）</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由医务人员以水罐为工具，利用各类方式方法使之吸附于体表的固定部位进行治疗，促进通经活络，行气活血，祛风散寒。</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20%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014400000050100</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中医拔罐-火罐（扩展）</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由医务人员以火罐为工具，利用各类方式方法使之吸附于体表的固定部位进行治疗，促进通经活络，行气活血，祛风散寒。</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所定价格可以涵盖清洁，罐具吸附，观察，撤罐，处理用物所需的人力资源和基本物质资源消耗。</w:t>
            </w: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35</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014400000050200</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中医拔罐-电火罐（扩展）</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由医务人员以电火罐为工具，利用各类方式方法使之吸附于体表的固定部位进行治疗，促进通经活络，行气活血，祛风散寒。</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所定价格可以涵盖清洁，罐具吸附，观察，撤罐，处理用物所需的人力资源和基本物质资源消耗。</w:t>
            </w: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35</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014400000050300</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中医拔罐-着罐（扩展）</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由医务人员以着罐为工具，利用各类方式方法使之吸附于体表的固定部位进行治疗，促进通经活络，行气活血，祛风散寒。</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所定价格可以涵盖清洁，罐具吸附，观察，撤罐，处理用物所需的人力资源和基本物质资源消耗。</w:t>
            </w: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35</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014400000050400</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中医拔罐-磁疗罐（扩展）</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由医务人员以磁疗罐为工具，利用各类方式方法使之吸附于体表的固定部位进行治疗，促进通经活络，行气活血，祛风散寒。</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所定价格可以涵盖清洁，罐具吸附，观察，撤罐，处理用物所需的人力资源和基本物质资源消耗。</w:t>
            </w: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35</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014400000050500</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中医拔罐-真空拔罐（扩展）</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由医务人员以真空拔罐为工具，利用各类方式方法使之吸附于体表的固定部位进行治疗，促进通经活络，行气活血，祛风散寒。</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所定价格可以涵盖清洁，罐具吸附，观察，撤罐，处理用物所需的人力资源和基本物质资源消耗。</w:t>
            </w: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35</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014400000050600</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中医拔罐-电罐（扩展）</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由医务人员以电罐为工具，利用各类方式方法使之吸附于体表的固定部位进行治疗，促进通经活络，行气活血，祛风散寒。</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所定价格可以涵盖清洁，罐具吸附，观察，撤罐，处理用物所需的人力资源和基本物质资源消耗。</w:t>
            </w: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35</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restart"/>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b/>
                <w:bCs/>
                <w:i w:val="0"/>
                <w:iCs w:val="0"/>
                <w:snapToGrid/>
                <w:color w:val="000000"/>
                <w:spacing w:val="0"/>
                <w:kern w:val="0"/>
                <w:sz w:val="22"/>
                <w:szCs w:val="22"/>
                <w:lang w:val="en-US" w:eastAsia="zh-CN" w:bidi="ar"/>
              </w:rPr>
              <w:t>7</w:t>
            </w: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014500000010000</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头面部疾病推拿</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由医务人员遵循经络、穴位，通过各类手法和力道治疗头面部疾病，起到疏通经络、理筋整复的作用。</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所定价格涵盖应用各类推拿手法或辅助器械，完成操作所需的人力资源和基本物质资源消耗。</w:t>
            </w: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70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014500000010001</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头面部疾病推拿-儿童（加收）</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由医务人员遵循经络、穴位，通过各类手法和力道治疗儿童头面部疾病，起到疏通经络、理筋整复的作用。</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jc w:val="both"/>
              <w:textAlignment w:val="baseline"/>
              <w:rPr>
                <w:rFonts w:hint="eastAsia" w:ascii="黑体" w:hAnsi="宋体" w:eastAsia="黑体" w:cs="黑体"/>
                <w:color w:val="000000"/>
                <w:spacing w:val="0"/>
                <w:kern w:val="0"/>
                <w:sz w:val="44"/>
                <w:szCs w:val="44"/>
              </w:rPr>
            </w:pP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30%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restart"/>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b/>
                <w:bCs/>
                <w:i w:val="0"/>
                <w:iCs w:val="0"/>
                <w:snapToGrid/>
                <w:color w:val="000000"/>
                <w:spacing w:val="0"/>
                <w:kern w:val="0"/>
                <w:sz w:val="22"/>
                <w:szCs w:val="22"/>
                <w:lang w:val="en-US" w:eastAsia="zh-CN" w:bidi="ar"/>
              </w:rPr>
              <w:t>8</w:t>
            </w: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014500000030000</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脊柱部位疾病推拿</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5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由医务人员遵循经络、穴位，通过各类手法和力道治疗脊柱部位疾病，起到疏通经络、理筋整复的作用。</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5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所定价格涵盖应用各类推拿手法或辅助器械，完成操作所需的人力资源和基本物质资源消耗。</w:t>
            </w: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80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014500000030001</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脊柱部位疾病推拿-寰枢关节推拿（加收）</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5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由医务人员遵循经络、穴位，通过各类手法和力道治疗脊柱部位疾病，推拿寰枢关节，起到疏通经络、理筋整复的作用。</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50" w:lineRule="exact"/>
              <w:ind w:left="0" w:right="0"/>
              <w:jc w:val="both"/>
              <w:textAlignment w:val="baseline"/>
              <w:rPr>
                <w:rFonts w:hint="eastAsia" w:ascii="黑体" w:hAnsi="宋体" w:eastAsia="黑体" w:cs="黑体"/>
                <w:color w:val="000000"/>
                <w:spacing w:val="0"/>
                <w:kern w:val="0"/>
                <w:sz w:val="44"/>
                <w:szCs w:val="44"/>
              </w:rPr>
            </w:pP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20%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014500000030002</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脊柱部位疾病推拿-儿童（加收）</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5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由医务人员遵循经络、穴位，通过各类手法和力道治疗儿童脊柱部位疾病，推拿寰枢关节，起到疏通经络、理筋整复的作用。</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50" w:lineRule="exact"/>
              <w:ind w:left="0" w:right="0"/>
              <w:jc w:val="both"/>
              <w:textAlignment w:val="baseline"/>
              <w:rPr>
                <w:rFonts w:hint="eastAsia" w:ascii="黑体" w:hAnsi="宋体" w:eastAsia="黑体" w:cs="黑体"/>
                <w:color w:val="000000"/>
                <w:spacing w:val="0"/>
                <w:kern w:val="0"/>
                <w:sz w:val="44"/>
                <w:szCs w:val="44"/>
              </w:rPr>
            </w:pP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30%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restart"/>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b/>
                <w:bCs/>
                <w:i w:val="0"/>
                <w:iCs w:val="0"/>
                <w:snapToGrid/>
                <w:color w:val="000000"/>
                <w:spacing w:val="0"/>
                <w:kern w:val="0"/>
                <w:sz w:val="22"/>
                <w:szCs w:val="22"/>
                <w:lang w:val="en-US" w:eastAsia="zh-CN" w:bidi="ar"/>
              </w:rPr>
              <w:t>9</w:t>
            </w: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014500000050000</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背部疾病推拿</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5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由医务人员遵循经络、穴位，通过各类手法和力道治疗背部疾病，起到疏通经络、理筋整复的作用。</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5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所定价格涵盖应用各类推拿手法或辅助器械，完成操作所需的人力资源和基本物质资源消耗。</w:t>
            </w: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80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014500000050001</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背部疾病推拿-儿童（加收）</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5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由医务人员遵循经络、穴位，通过各类手法和力道治疗儿童背部疾病，起到疏通经络、理筋整复的作用。</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50" w:lineRule="exact"/>
              <w:ind w:left="0" w:right="0"/>
              <w:jc w:val="both"/>
              <w:textAlignment w:val="baseline"/>
              <w:rPr>
                <w:rFonts w:hint="eastAsia" w:ascii="黑体" w:hAnsi="宋体" w:eastAsia="黑体" w:cs="黑体"/>
                <w:color w:val="000000"/>
                <w:spacing w:val="0"/>
                <w:kern w:val="0"/>
                <w:sz w:val="44"/>
                <w:szCs w:val="44"/>
              </w:rPr>
            </w:pP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30%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restart"/>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b/>
                <w:bCs/>
                <w:i w:val="0"/>
                <w:iCs w:val="0"/>
                <w:snapToGrid/>
                <w:color w:val="000000"/>
                <w:spacing w:val="0"/>
                <w:kern w:val="0"/>
                <w:sz w:val="22"/>
                <w:szCs w:val="22"/>
                <w:lang w:val="en-US" w:eastAsia="zh-CN" w:bidi="ar"/>
              </w:rPr>
              <w:t>10</w:t>
            </w: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014500000070000</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髋骶部疾病推拿</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由医务人员遵循经络、穴位，通过各类手法和力道治疗髋骶部疾病，以起到疏通经络、理筋整复的作用。</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6"/>
                <w:kern w:val="0"/>
                <w:sz w:val="22"/>
                <w:szCs w:val="22"/>
                <w:lang w:val="en-US" w:eastAsia="zh-CN" w:bidi="ar"/>
              </w:rPr>
              <w:t>所定价格涵盖应用各类推拿手法或特殊推拿技术或辅助器械，审证求因、确定病位、动静结合、精准施治所需的人力资源和基本物质资源消耗。</w:t>
            </w: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80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014500000070001</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髋骶部疾病推拿-儿童（加收）</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由医务人员遵循经络、穴位，通过各类手法和力道治疗儿童髋骶部疾病，以起到疏通经络、理筋整复的作用。</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30%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restart"/>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b/>
                <w:bCs/>
                <w:i w:val="0"/>
                <w:iCs w:val="0"/>
                <w:snapToGrid/>
                <w:color w:val="000000"/>
                <w:spacing w:val="0"/>
                <w:kern w:val="0"/>
                <w:sz w:val="22"/>
                <w:szCs w:val="22"/>
                <w:lang w:val="en-US" w:eastAsia="zh-CN" w:bidi="ar"/>
              </w:rPr>
              <w:t>11</w:t>
            </w: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014500000090000</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脏腑疾病推拿</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由医务人员遵循经络、穴位，通过各类手法和力道治疗脏腑疾病，起到疏通经络、理筋整复的作用。</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所定价格涵盖应用各类推拿手法或辅助器械，完成操作所需的人力资源和基本物质资源消耗。</w:t>
            </w: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70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014500000090001</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脏腑疾病推拿-儿童（加收）</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由医务人员遵循经络、穴位，通过各类手法和力道治疗儿童脏腑疾病，起到疏通经络、理筋整复的作用。</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30%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restart"/>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b/>
                <w:bCs/>
                <w:i w:val="0"/>
                <w:iCs w:val="0"/>
                <w:snapToGrid/>
                <w:color w:val="000000"/>
                <w:spacing w:val="0"/>
                <w:kern w:val="0"/>
                <w:sz w:val="22"/>
                <w:szCs w:val="22"/>
                <w:lang w:val="en-US" w:eastAsia="zh-CN" w:bidi="ar"/>
              </w:rPr>
              <w:t>12</w:t>
            </w: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014600000010000</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针刀（钩活）疗法</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使用针刀、铍针、刃针等各种针刀具，对病变组织松解剥离，起到缓解症状或治疗疾病的作用。</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所定价格涵盖定位、穿刺、剥离、包扎等人力资源和基本物质资源消耗。</w:t>
            </w: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部位</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78</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014600000010001</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针刀（钩活）疗法-脊柱针刀疗法（加收）</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使用针刀、铍针、刃针等各种针刀具，对脊柱病变组织松解剥离，起到缓解症状或治疗疾病的作用。</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部位</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30%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restart"/>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b/>
                <w:bCs/>
                <w:i w:val="0"/>
                <w:iCs w:val="0"/>
                <w:snapToGrid/>
                <w:color w:val="000000"/>
                <w:spacing w:val="0"/>
                <w:kern w:val="0"/>
                <w:sz w:val="22"/>
                <w:szCs w:val="22"/>
                <w:lang w:val="en-US" w:eastAsia="zh-CN" w:bidi="ar"/>
              </w:rPr>
              <w:t>13</w:t>
            </w: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013112020040000</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羊膜腔穿刺</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经羊膜腔获取检测样本，用于产前诊断。</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所定价格涵盖定位、消毒、穿刺、取样、观察等羊膜腔穿刺所有必要操作所需人力资源和基本物质资源消耗。</w:t>
            </w: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胎/次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190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检查费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013112020040001</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羊膜腔穿刺-内镜下辅助操作（加收）</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经羊膜腔内镜下获取检测样本，用于产前诊断。</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胎/次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100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检查费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013112020040100</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羊膜腔穿刺-羊膜腔穿刺注药（扩展）</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经羊膜腔穿刺注药。</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所定价格涵盖定位、消毒、穿刺、注药、取样、观察等羊膜腔穿刺所有必要操作所需人力资源和基本物质资源消耗。</w:t>
            </w: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胎/次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190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b/>
                <w:bCs/>
                <w:i w:val="0"/>
                <w:iCs w:val="0"/>
                <w:snapToGrid/>
                <w:color w:val="000000"/>
                <w:spacing w:val="0"/>
                <w:kern w:val="0"/>
                <w:sz w:val="22"/>
                <w:szCs w:val="22"/>
                <w:lang w:val="en-US" w:eastAsia="zh-CN" w:bidi="ar"/>
              </w:rPr>
              <w:t>14</w:t>
            </w: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013112020170000</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子宫压迫止血</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经药物等保守治疗无效，需要压迫止血，达到止血目的。</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所定价格涵盖扩张宫口、探查宫腔并清宫、填塞宫腔或缝合、压迫止血，必要时材料取出等所需的人力资源和基本物质资源消耗。</w:t>
            </w: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240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b/>
                <w:bCs/>
                <w:i w:val="0"/>
                <w:iCs w:val="0"/>
                <w:snapToGrid/>
                <w:color w:val="000000"/>
                <w:spacing w:val="0"/>
                <w:kern w:val="0"/>
                <w:sz w:val="22"/>
                <w:szCs w:val="22"/>
                <w:lang w:val="en-US" w:eastAsia="zh-CN" w:bidi="ar"/>
              </w:rPr>
              <w:t>15</w:t>
            </w: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013112020180000</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脐静脉穿刺</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经羊膜腔获取胎儿脐静脉血。</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所定价格涵盖定位、消毒、穿刺、抽血等脐静脉穿刺所有必要操作所需的人力资源和基本物质资源消耗。</w:t>
            </w: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胎/次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230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b/>
                <w:bCs/>
                <w:i w:val="0"/>
                <w:iCs w:val="0"/>
                <w:snapToGrid/>
                <w:color w:val="000000"/>
                <w:spacing w:val="0"/>
                <w:kern w:val="0"/>
                <w:sz w:val="22"/>
                <w:szCs w:val="22"/>
                <w:lang w:val="en-US" w:eastAsia="zh-CN" w:bidi="ar"/>
              </w:rPr>
              <w:t>16</w:t>
            </w: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013112020190000</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药物减胎</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因孕妇要求或医学指征，通过药物终止多胎妊娠中某一或两个（及以上）胎儿的发育。</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所定价格涵盖消毒、穿刺、注药等药物减胎所有必要操作所需的人力资源和基本物质资源消耗。</w:t>
            </w: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胎/次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1200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3</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b/>
                <w:bCs/>
                <w:i w:val="0"/>
                <w:iCs w:val="0"/>
                <w:snapToGrid/>
                <w:color w:val="000000"/>
                <w:spacing w:val="0"/>
                <w:kern w:val="0"/>
                <w:sz w:val="22"/>
                <w:szCs w:val="22"/>
                <w:lang w:val="en-US" w:eastAsia="zh-CN" w:bidi="ar"/>
              </w:rPr>
              <w:t>17</w:t>
            </w: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013112020200000</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中期引产</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孕中期通过药物等方式终止胎儿发育，促宫颈成熟达到临产状态。</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所定价格涵盖消毒、促宫颈成熟、胎儿处理等中期引产所有必要操作所需的人力资源和基本物质资源消耗。</w:t>
            </w: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胎/次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220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适用于孕期“14周-27周+6”孕周。</w:t>
            </w: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b/>
                <w:bCs/>
                <w:i w:val="0"/>
                <w:iCs w:val="0"/>
                <w:snapToGrid/>
                <w:color w:val="000000"/>
                <w:spacing w:val="0"/>
                <w:kern w:val="0"/>
                <w:sz w:val="22"/>
                <w:szCs w:val="22"/>
                <w:lang w:val="en-US" w:eastAsia="zh-CN" w:bidi="ar"/>
              </w:rPr>
              <w:t>18</w:t>
            </w: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013112020210000</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晚期引产</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孕晚期通过药物等方式终止胎儿发育，促宫颈成熟达到临产状态。</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所定价格涵盖消毒、促宫颈成熟、胎儿处理等晚期引产所有必要操作所需的人力资源和基本物质资源消耗。</w:t>
            </w: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胎/次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220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适用于孕期超过“27周+6”孕周。</w:t>
            </w: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治疗费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restart"/>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b/>
                <w:bCs/>
                <w:i w:val="0"/>
                <w:iCs w:val="0"/>
                <w:snapToGrid/>
                <w:color w:val="000000"/>
                <w:spacing w:val="0"/>
                <w:kern w:val="0"/>
                <w:sz w:val="22"/>
                <w:szCs w:val="22"/>
                <w:lang w:val="en-US" w:eastAsia="zh-CN" w:bidi="ar"/>
              </w:rPr>
              <w:t>19</w:t>
            </w: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013314000010000</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阴道分娩（常规）</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阴道分娩接生及新生儿处理的全过程处置。</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所定价格涵盖自第二产程开始至第四产程结束期间常规经阴道分娩的全过程和必要操作，包括对产妇的密切观察、生产指导、干预措施，协助胎儿娩出、胎盘娩出，对脐带、胎盘、胎膜的检查处理，对产道的检查、会阴侧切、缝合及裂伤修补（1-2度），母婴观察、处理、评分及记录等所需的人力资源和基本物质资源消耗。</w:t>
            </w: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胎/次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1000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手术费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013314000010001</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阴道分娩（常规）-会阴裂伤修补（限3-4度）（加收）</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阴道分娩接生及新生儿处理的全过程处置，并行会阴裂伤修补（限3-4度）。</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胎/次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405</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手术费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013314000010002</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阴道分娩（常规）-宫颈裂伤修补（加收）</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阴道分娩接生及新生儿处理的全过程处置，并行宫颈裂伤修补。</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胎/次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203</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手术费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restart"/>
            <w:tcBorders>
              <w:top w:val="nil"/>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b/>
                <w:bCs/>
                <w:i w:val="0"/>
                <w:iCs w:val="0"/>
                <w:snapToGrid/>
                <w:color w:val="000000"/>
                <w:spacing w:val="0"/>
                <w:kern w:val="0"/>
                <w:sz w:val="22"/>
                <w:szCs w:val="22"/>
                <w:lang w:val="en-US" w:eastAsia="zh-CN" w:bidi="ar"/>
              </w:rPr>
              <w:t>20</w:t>
            </w: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013314000050000</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宫颈环扎术（常规）</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对宫颈机能不全的治疗，达到延长孕周，维持胎儿存活目的。</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所定价格涵盖消毒、宫颈固定、缝合、拆线，必要时胎膜复位等宫颈环扎术所有必要操作所需的人力资源和基本物质资源消耗。</w:t>
            </w: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600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手术费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top w:val="nil"/>
              <w:left w:val="single" w:color="auto" w:sz="4" w:space="0"/>
              <w:bottom w:val="nil"/>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cs="Times New Roman"/>
                <w:spacing w:val="0"/>
                <w:sz w:val="20"/>
                <w:szCs w:val="20"/>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013314000050001</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宫颈环扎术（常规）-内镜下辅助操作（加收）</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对宫颈机能不全的内镜下治疗，达到延长孕周，维持胎儿存活目的。</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次</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100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手术费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restart"/>
            <w:tcBorders>
              <w:top w:val="nil"/>
              <w:left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default" w:ascii="Times New Roman" w:hAnsi="Times New Roman" w:eastAsia="宋体" w:cs="Times New Roman"/>
                <w:spacing w:val="0"/>
                <w:sz w:val="20"/>
                <w:szCs w:val="20"/>
                <w:lang w:val="en-US" w:eastAsia="zh-CN"/>
              </w:rPr>
            </w:pPr>
            <w:r>
              <w:rPr>
                <w:rFonts w:hint="eastAsia" w:ascii="Times New Roman" w:hAnsi="Times New Roman" w:cs="Times New Roman"/>
                <w:spacing w:val="0"/>
                <w:sz w:val="20"/>
                <w:szCs w:val="20"/>
                <w:lang w:val="en-US" w:eastAsia="zh-CN"/>
              </w:rPr>
              <w:t>21</w:t>
            </w: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宋体" w:hAnsi="宋体" w:eastAsia="宋体" w:cs="宋体"/>
                <w:i w:val="0"/>
                <w:iCs w:val="0"/>
                <w:snapToGrid/>
                <w:color w:val="000000"/>
                <w:spacing w:val="0"/>
                <w:kern w:val="0"/>
                <w:sz w:val="22"/>
                <w:szCs w:val="22"/>
                <w:lang w:val="en-US" w:eastAsia="zh-CN" w:bidi="ar"/>
              </w:rPr>
            </w:pPr>
            <w:r>
              <w:rPr>
                <w:rFonts w:hint="eastAsia" w:ascii="宋体" w:hAnsi="宋体" w:eastAsia="宋体" w:cs="宋体"/>
                <w:i w:val="0"/>
                <w:iCs w:val="0"/>
                <w:snapToGrid/>
                <w:color w:val="000000"/>
                <w:spacing w:val="0"/>
                <w:kern w:val="0"/>
                <w:sz w:val="22"/>
                <w:szCs w:val="22"/>
                <w:lang w:val="en-US" w:eastAsia="zh-CN" w:bidi="ar"/>
              </w:rPr>
              <w:t>011301000020000</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宋体" w:hAnsi="宋体" w:eastAsia="宋体" w:cs="宋体"/>
                <w:i w:val="0"/>
                <w:iCs w:val="0"/>
                <w:snapToGrid/>
                <w:color w:val="000000"/>
                <w:spacing w:val="0"/>
                <w:kern w:val="0"/>
                <w:sz w:val="22"/>
                <w:szCs w:val="22"/>
                <w:lang w:val="en-US" w:eastAsia="zh-CN" w:bidi="ar"/>
              </w:rPr>
            </w:pPr>
            <w:r>
              <w:rPr>
                <w:rFonts w:hint="eastAsia" w:ascii="宋体" w:hAnsi="宋体" w:eastAsia="宋体" w:cs="宋体"/>
                <w:i w:val="0"/>
                <w:iCs w:val="0"/>
                <w:snapToGrid/>
                <w:color w:val="000000"/>
                <w:spacing w:val="0"/>
                <w:kern w:val="0"/>
                <w:sz w:val="22"/>
                <w:szCs w:val="22"/>
                <w:lang w:val="en-US" w:eastAsia="zh-CN" w:bidi="ar"/>
              </w:rPr>
              <w:t>Ⅰ级护理</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宋体" w:hAnsi="宋体" w:eastAsia="宋体" w:cs="宋体"/>
                <w:i w:val="0"/>
                <w:iCs w:val="0"/>
                <w:snapToGrid/>
                <w:color w:val="000000"/>
                <w:spacing w:val="0"/>
                <w:kern w:val="0"/>
                <w:sz w:val="22"/>
                <w:szCs w:val="22"/>
                <w:lang w:val="en-US" w:eastAsia="zh-CN" w:bidi="ar"/>
              </w:rPr>
            </w:pPr>
            <w:r>
              <w:rPr>
                <w:rFonts w:hint="eastAsia" w:ascii="宋体" w:hAnsi="宋体" w:eastAsia="宋体" w:cs="宋体"/>
                <w:i w:val="0"/>
                <w:iCs w:val="0"/>
                <w:snapToGrid/>
                <w:color w:val="000000"/>
                <w:spacing w:val="0"/>
                <w:kern w:val="0"/>
                <w:sz w:val="22"/>
                <w:szCs w:val="22"/>
                <w:lang w:val="en-US" w:eastAsia="zh-CN" w:bidi="ar"/>
              </w:rPr>
              <w:t>指为病情趋向稳定的重症患者；病情不稳定或随时可能发生变化的患者；手术后或者治疗期间需要严格卧床的患者；自理能力重度依赖的患者的患者提供的相关护理。</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r>
              <w:rPr>
                <w:rFonts w:hint="eastAsia" w:ascii="宋体" w:hAnsi="宋体" w:eastAsia="宋体" w:cs="宋体"/>
                <w:i w:val="0"/>
                <w:iCs w:val="0"/>
                <w:snapToGrid/>
                <w:color w:val="000000"/>
                <w:spacing w:val="0"/>
                <w:kern w:val="0"/>
                <w:sz w:val="22"/>
                <w:szCs w:val="22"/>
                <w:lang w:val="en-US" w:eastAsia="zh-CN" w:bidi="ar"/>
              </w:rPr>
              <w:t>所定价格涵盖观察病情及生命体征、制定护理措施、根据医嘱正确实施治疗用药、评估、评定、记出入量、书写护理记录、辅助实施生活护理、口腔护理、皮肤清洁、会阴护理、肛周护理、叩背护理、眼部护理、心理护理、给予患者舒适和功能体位、预防并发症、实施床旁交接班、健康指导等所需的人力资源和基本物质资源消耗。含术前备皮，不含其他专项护理。</w:t>
            </w: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宋体" w:hAnsi="宋体" w:eastAsia="宋体" w:cs="宋体"/>
                <w:i w:val="0"/>
                <w:iCs w:val="0"/>
                <w:snapToGrid/>
                <w:color w:val="000000"/>
                <w:spacing w:val="0"/>
                <w:kern w:val="0"/>
                <w:sz w:val="22"/>
                <w:szCs w:val="22"/>
                <w:lang w:val="en-US" w:eastAsia="zh-CN" w:bidi="ar"/>
              </w:rPr>
            </w:pPr>
            <w:r>
              <w:rPr>
                <w:rFonts w:hint="eastAsia" w:ascii="宋体" w:hAnsi="宋体" w:eastAsia="宋体" w:cs="宋体"/>
                <w:i w:val="0"/>
                <w:iCs w:val="0"/>
                <w:snapToGrid/>
                <w:color w:val="000000"/>
                <w:spacing w:val="0"/>
                <w:kern w:val="0"/>
                <w:sz w:val="22"/>
                <w:szCs w:val="22"/>
                <w:lang w:val="en-US" w:eastAsia="zh-CN" w:bidi="ar"/>
              </w:rPr>
              <w:t>日</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宋体" w:hAnsi="宋体" w:eastAsia="宋体" w:cs="宋体"/>
                <w:i w:val="0"/>
                <w:iCs w:val="0"/>
                <w:snapToGrid/>
                <w:color w:val="000000"/>
                <w:spacing w:val="0"/>
                <w:kern w:val="0"/>
                <w:sz w:val="22"/>
                <w:szCs w:val="22"/>
                <w:lang w:val="en-US" w:eastAsia="zh-CN" w:bidi="ar"/>
              </w:rPr>
            </w:pPr>
            <w:r>
              <w:rPr>
                <w:rFonts w:hint="eastAsia" w:ascii="宋体" w:hAnsi="宋体" w:eastAsia="宋体" w:cs="宋体"/>
                <w:i w:val="0"/>
                <w:iCs w:val="0"/>
                <w:snapToGrid/>
                <w:color w:val="000000"/>
                <w:spacing w:val="0"/>
                <w:kern w:val="0"/>
                <w:sz w:val="22"/>
                <w:szCs w:val="22"/>
                <w:lang w:val="en-US" w:eastAsia="zh-CN" w:bidi="ar"/>
              </w:rPr>
              <w:t>60</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default" w:ascii="宋体" w:hAnsi="宋体" w:eastAsia="宋体" w:cs="宋体"/>
                <w:i w:val="0"/>
                <w:iCs w:val="0"/>
                <w:snapToGrid/>
                <w:color w:val="000000"/>
                <w:spacing w:val="0"/>
                <w:kern w:val="0"/>
                <w:sz w:val="22"/>
                <w:szCs w:val="22"/>
                <w:lang w:val="en-US" w:eastAsia="zh-CN" w:bidi="ar"/>
              </w:rPr>
            </w:pPr>
            <w:r>
              <w:rPr>
                <w:rFonts w:hint="eastAsia" w:ascii="宋体" w:hAnsi="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宋体" w:hAnsi="宋体" w:eastAsia="宋体" w:cs="宋体"/>
                <w:i w:val="0"/>
                <w:iCs w:val="0"/>
                <w:snapToGrid/>
                <w:color w:val="000000"/>
                <w:spacing w:val="0"/>
                <w:kern w:val="0"/>
                <w:sz w:val="22"/>
                <w:szCs w:val="22"/>
                <w:lang w:val="en-US" w:eastAsia="zh-CN" w:bidi="ar"/>
              </w:rPr>
            </w:pPr>
            <w:r>
              <w:rPr>
                <w:rFonts w:hint="eastAsia" w:ascii="宋体" w:hAnsi="宋体" w:eastAsia="宋体" w:cs="宋体"/>
                <w:i w:val="0"/>
                <w:iCs w:val="0"/>
                <w:snapToGrid/>
                <w:color w:val="000000"/>
                <w:spacing w:val="0"/>
                <w:kern w:val="0"/>
                <w:sz w:val="22"/>
                <w:szCs w:val="22"/>
                <w:lang w:val="en-US" w:eastAsia="zh-CN" w:bidi="ar"/>
              </w:rPr>
              <w:t>护理费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 w:type="dxa"/>
            <w:vMerge w:val="continue"/>
            <w:tcBorders>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eastAsia" w:ascii="Times New Roman" w:hAnsi="Times New Roman" w:cs="Times New Roman"/>
                <w:spacing w:val="0"/>
                <w:sz w:val="20"/>
                <w:szCs w:val="20"/>
                <w:lang w:val="en-US" w:eastAsia="zh-CN"/>
              </w:rPr>
            </w:pPr>
          </w:p>
        </w:tc>
        <w:tc>
          <w:tcPr>
            <w:tcW w:w="1875"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宋体" w:hAnsi="宋体" w:eastAsia="宋体" w:cs="宋体"/>
                <w:i w:val="0"/>
                <w:iCs w:val="0"/>
                <w:snapToGrid/>
                <w:color w:val="000000"/>
                <w:spacing w:val="0"/>
                <w:kern w:val="0"/>
                <w:sz w:val="22"/>
                <w:szCs w:val="22"/>
                <w:lang w:val="en-US" w:eastAsia="zh-CN" w:bidi="ar"/>
              </w:rPr>
            </w:pPr>
            <w:r>
              <w:rPr>
                <w:rFonts w:hint="eastAsia" w:ascii="宋体" w:hAnsi="宋体" w:eastAsia="宋体" w:cs="宋体"/>
                <w:i w:val="0"/>
                <w:iCs w:val="0"/>
                <w:snapToGrid/>
                <w:color w:val="000000"/>
                <w:spacing w:val="0"/>
                <w:kern w:val="0"/>
                <w:sz w:val="22"/>
                <w:szCs w:val="22"/>
                <w:lang w:val="en-US" w:eastAsia="zh-CN" w:bidi="ar"/>
              </w:rPr>
              <w:t>011301000020001</w:t>
            </w:r>
          </w:p>
        </w:tc>
        <w:tc>
          <w:tcPr>
            <w:tcW w:w="160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宋体" w:hAnsi="宋体" w:eastAsia="宋体" w:cs="宋体"/>
                <w:i w:val="0"/>
                <w:iCs w:val="0"/>
                <w:snapToGrid/>
                <w:color w:val="000000"/>
                <w:spacing w:val="0"/>
                <w:kern w:val="0"/>
                <w:sz w:val="22"/>
                <w:szCs w:val="22"/>
                <w:lang w:val="en-US" w:eastAsia="zh-CN" w:bidi="ar"/>
              </w:rPr>
            </w:pPr>
            <w:r>
              <w:rPr>
                <w:rFonts w:hint="eastAsia" w:ascii="宋体" w:hAnsi="宋体" w:eastAsia="宋体" w:cs="宋体"/>
                <w:i w:val="0"/>
                <w:iCs w:val="0"/>
                <w:snapToGrid/>
                <w:color w:val="000000"/>
                <w:spacing w:val="0"/>
                <w:kern w:val="0"/>
                <w:sz w:val="22"/>
                <w:szCs w:val="22"/>
                <w:lang w:val="en-US" w:eastAsia="zh-CN" w:bidi="ar"/>
              </w:rPr>
              <w:t>Ⅰ级护理-儿童(加收)</w:t>
            </w:r>
          </w:p>
        </w:tc>
        <w:tc>
          <w:tcPr>
            <w:tcW w:w="2759"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center"/>
              <w:rPr>
                <w:rFonts w:hint="eastAsia" w:ascii="宋体" w:hAnsi="宋体" w:eastAsia="宋体" w:cs="宋体"/>
                <w:i w:val="0"/>
                <w:iCs w:val="0"/>
                <w:snapToGrid/>
                <w:color w:val="000000"/>
                <w:spacing w:val="0"/>
                <w:kern w:val="0"/>
                <w:sz w:val="22"/>
                <w:szCs w:val="22"/>
                <w:lang w:val="en-US" w:eastAsia="zh-CN" w:bidi="ar"/>
              </w:rPr>
            </w:pPr>
            <w:r>
              <w:rPr>
                <w:rFonts w:hint="eastAsia" w:ascii="宋体" w:hAnsi="宋体" w:eastAsia="宋体" w:cs="宋体"/>
                <w:i w:val="0"/>
                <w:iCs w:val="0"/>
                <w:snapToGrid/>
                <w:color w:val="000000"/>
                <w:spacing w:val="0"/>
                <w:kern w:val="0"/>
                <w:sz w:val="22"/>
                <w:szCs w:val="22"/>
                <w:lang w:val="en-US" w:eastAsia="zh-CN" w:bidi="ar"/>
              </w:rPr>
              <w:t>指为病情趋向稳定的重症患者；病情不稳定或随时可能发生变化的患者；手术后或者治疗期间需要严格卧床的患者；自理能力重度依赖的患者的患者提供的相关护理。</w:t>
            </w:r>
          </w:p>
        </w:tc>
        <w:tc>
          <w:tcPr>
            <w:tcW w:w="279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宋体" w:hAnsi="宋体" w:eastAsia="宋体" w:cs="宋体"/>
                <w:i w:val="0"/>
                <w:iCs w:val="0"/>
                <w:snapToGrid/>
                <w:color w:val="000000"/>
                <w:spacing w:val="0"/>
                <w:kern w:val="0"/>
                <w:sz w:val="22"/>
                <w:szCs w:val="22"/>
                <w:lang w:val="en-US" w:eastAsia="zh-CN" w:bidi="ar"/>
              </w:rPr>
            </w:pPr>
          </w:p>
        </w:tc>
        <w:tc>
          <w:tcPr>
            <w:tcW w:w="694"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eastAsia" w:ascii="宋体" w:hAnsi="宋体" w:eastAsia="宋体" w:cs="宋体"/>
                <w:i w:val="0"/>
                <w:iCs w:val="0"/>
                <w:snapToGrid/>
                <w:color w:val="000000"/>
                <w:spacing w:val="0"/>
                <w:kern w:val="0"/>
                <w:sz w:val="22"/>
                <w:szCs w:val="22"/>
                <w:lang w:val="en-US" w:eastAsia="zh-CN" w:bidi="ar"/>
              </w:rPr>
            </w:pPr>
            <w:r>
              <w:rPr>
                <w:rFonts w:hint="eastAsia" w:ascii="宋体" w:hAnsi="宋体" w:eastAsia="宋体" w:cs="宋体"/>
                <w:i w:val="0"/>
                <w:iCs w:val="0"/>
                <w:snapToGrid/>
                <w:color w:val="000000"/>
                <w:spacing w:val="0"/>
                <w:kern w:val="0"/>
                <w:sz w:val="22"/>
                <w:szCs w:val="22"/>
                <w:lang w:val="en-US" w:eastAsia="zh-CN" w:bidi="ar"/>
              </w:rPr>
              <w:t>日</w:t>
            </w:r>
          </w:p>
        </w:tc>
        <w:tc>
          <w:tcPr>
            <w:tcW w:w="760"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center"/>
              <w:rPr>
                <w:rFonts w:hint="default" w:ascii="宋体" w:hAnsi="宋体" w:eastAsia="宋体" w:cs="宋体"/>
                <w:i w:val="0"/>
                <w:iCs w:val="0"/>
                <w:snapToGrid/>
                <w:color w:val="000000"/>
                <w:spacing w:val="0"/>
                <w:kern w:val="0"/>
                <w:sz w:val="22"/>
                <w:szCs w:val="22"/>
                <w:lang w:val="en-US" w:eastAsia="zh-CN" w:bidi="ar"/>
              </w:rPr>
            </w:pPr>
            <w:r>
              <w:rPr>
                <w:rFonts w:hint="eastAsia" w:ascii="宋体" w:hAnsi="宋体" w:cs="宋体"/>
                <w:i w:val="0"/>
                <w:iCs w:val="0"/>
                <w:snapToGrid/>
                <w:color w:val="000000"/>
                <w:spacing w:val="0"/>
                <w:kern w:val="0"/>
                <w:sz w:val="22"/>
                <w:szCs w:val="22"/>
                <w:lang w:val="en-US" w:eastAsia="zh-CN" w:bidi="ar"/>
              </w:rPr>
              <w:t>18</w:t>
            </w:r>
          </w:p>
        </w:tc>
        <w:tc>
          <w:tcPr>
            <w:tcW w:w="2221"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baseline"/>
              <w:rPr>
                <w:rFonts w:hint="eastAsia" w:ascii="黑体" w:hAnsi="宋体" w:eastAsia="黑体" w:cs="黑体"/>
                <w:color w:val="000000"/>
                <w:spacing w:val="0"/>
                <w:kern w:val="0"/>
                <w:sz w:val="44"/>
                <w:szCs w:val="44"/>
              </w:rPr>
            </w:pPr>
          </w:p>
        </w:tc>
        <w:tc>
          <w:tcPr>
            <w:tcW w:w="638"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leftChars="0" w:right="0" w:rightChars="0"/>
              <w:jc w:val="center"/>
              <w:textAlignment w:val="center"/>
              <w:rPr>
                <w:rFonts w:hint="eastAsia" w:ascii="宋体" w:hAnsi="宋体" w:eastAsia="宋体" w:cs="宋体"/>
                <w:i w:val="0"/>
                <w:iCs w:val="0"/>
                <w:snapToGrid/>
                <w:color w:val="000000"/>
                <w:spacing w:val="0"/>
                <w:kern w:val="0"/>
                <w:sz w:val="22"/>
                <w:szCs w:val="22"/>
                <w:lang w:val="en-US" w:eastAsia="zh-CN" w:bidi="ar"/>
              </w:rPr>
            </w:pPr>
            <w:r>
              <w:rPr>
                <w:rFonts w:hint="eastAsia" w:ascii="宋体" w:hAnsi="宋体" w:cs="宋体"/>
                <w:i w:val="0"/>
                <w:iCs w:val="0"/>
                <w:snapToGrid/>
                <w:color w:val="000000"/>
                <w:spacing w:val="0"/>
                <w:kern w:val="0"/>
                <w:sz w:val="22"/>
                <w:szCs w:val="22"/>
                <w:lang w:val="en-US" w:eastAsia="zh-CN" w:bidi="ar"/>
              </w:rPr>
              <w:t>1</w:t>
            </w:r>
          </w:p>
        </w:tc>
        <w:tc>
          <w:tcPr>
            <w:tcW w:w="786"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leftChars="0" w:right="0" w:rightChars="0"/>
              <w:jc w:val="center"/>
              <w:textAlignment w:val="center"/>
              <w:rPr>
                <w:rFonts w:hint="eastAsia" w:ascii="宋体" w:hAnsi="宋体" w:eastAsia="宋体" w:cs="宋体"/>
                <w:i w:val="0"/>
                <w:iCs w:val="0"/>
                <w:snapToGrid/>
                <w:color w:val="000000"/>
                <w:spacing w:val="0"/>
                <w:kern w:val="0"/>
                <w:sz w:val="22"/>
                <w:szCs w:val="22"/>
                <w:lang w:val="en-US" w:eastAsia="zh-CN" w:bidi="ar"/>
              </w:rPr>
            </w:pPr>
            <w:r>
              <w:rPr>
                <w:rFonts w:hint="eastAsia" w:ascii="宋体" w:hAnsi="宋体" w:eastAsia="宋体" w:cs="宋体"/>
                <w:i w:val="0"/>
                <w:iCs w:val="0"/>
                <w:snapToGrid/>
                <w:color w:val="000000"/>
                <w:spacing w:val="0"/>
                <w:kern w:val="0"/>
                <w:sz w:val="22"/>
                <w:szCs w:val="22"/>
                <w:lang w:val="en-US" w:eastAsia="zh-CN" w:bidi="ar"/>
              </w:rPr>
              <w:t>护理费</w:t>
            </w:r>
          </w:p>
        </w:tc>
      </w:tr>
    </w:tbl>
    <w:p>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default" w:ascii="Times New Roman" w:hAnsi="Times New Roman" w:eastAsia="方正仿宋_GBK" w:cs="Times New Roman"/>
          <w:sz w:val="32"/>
          <w:szCs w:val="32"/>
          <w:lang w:val="en-US" w:eastAsia="zh-CN"/>
        </w:rPr>
      </w:pPr>
    </w:p>
    <w:sectPr>
      <w:headerReference r:id="rId5" w:type="default"/>
      <w:footerReference r:id="rId6" w:type="default"/>
      <w:pgSz w:w="16838" w:h="11906" w:orient="landscape"/>
      <w:pgMar w:top="1587" w:right="1962" w:bottom="1359" w:left="1848" w:header="794" w:footer="680" w:gutter="0"/>
      <w:pgNumType w:fmt="numberInDash"/>
      <w:cols w:space="0" w:num="1"/>
      <w:rtlGutter w:val="0"/>
      <w:docGrid w:type="lines" w:linePitch="4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7296"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y0PJtKwIAAFU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CzSVju0AAAAAUBAAAPAAAAAAAAAAEAIAAAADgAAABkcnMvZG93&#10;bnJldi54bWxQSwECFAAUAAAACACHTuJActDybSsCAABVBAAADgAAAAAAAAABACAAAAA1AQAAZHJz&#10;L2Uyb0RvYy54bWxQSwUGAAAAAAYABgBZAQAA0gUAAAAA&#10;">
              <v:fill on="f" focussize="0,0"/>
              <v:stroke on="f" weight="0.5pt"/>
              <v:imagedata o:title=""/>
              <o:lock v:ext="edit" aspectratio="f"/>
              <v:textbox inset="0mm,0mm,0mm,0mm" style="mso-fit-shape-to-text:t;">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9"/>
      <w:wordWrap w:val="0"/>
      <w:ind w:left="5773" w:leftChars="1804" w:firstLine="7920" w:firstLineChars="2475"/>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86el0dQAAAAGAQAADwAAAAAAAAABACAAAAA4AAAAZHJzL2Rvd25yZXYu&#10;eG1sUEsBAhQAFAAAAAgAh07iQPA2LSnpAQAAtQMAAA4AAAAAAAAAAQAgAAAAOQEAAGRycy9lMm9E&#10;b2MueG1sUEsFBgAAAAAGAAYAWQEAAJQFA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芜湖市</w:t>
    </w:r>
    <w:r>
      <w:rPr>
        <w:rFonts w:hint="eastAsia" w:ascii="宋体" w:hAnsi="宋体" w:eastAsia="宋体" w:cs="宋体"/>
        <w:b/>
        <w:bCs/>
        <w:color w:val="005192"/>
        <w:sz w:val="28"/>
        <w:szCs w:val="44"/>
        <w:lang w:eastAsia="zh-CN"/>
      </w:rPr>
      <w:t>医疗保障局</w:t>
    </w:r>
    <w:r>
      <w:rPr>
        <w:rFonts w:hint="eastAsia" w:ascii="宋体" w:hAnsi="宋体" w:eastAsia="宋体" w:cs="宋体"/>
        <w:b/>
        <w:bCs/>
        <w:color w:val="005192"/>
        <w:sz w:val="28"/>
        <w:szCs w:val="44"/>
      </w:rPr>
      <w:t xml:space="preserve">发布     </w:t>
    </w:r>
  </w:p>
  <w:p>
    <w:pPr>
      <w:pStyle w:val="9"/>
      <w:tabs>
        <w:tab w:val="left" w:pos="7360"/>
      </w:tabs>
      <w:wordWrap w:val="0"/>
      <w:ind w:left="7296" w:leftChars="2280" w:firstLine="5621" w:firstLineChars="2000"/>
      <w:jc w:val="right"/>
      <w:rPr>
        <w:rFonts w:ascii="宋体" w:hAnsi="宋体" w:eastAsia="宋体" w:cs="宋体"/>
        <w:b/>
        <w:bCs/>
        <w:color w:val="005192"/>
        <w:sz w:val="28"/>
        <w:szCs w:val="4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left" w:pos="6834"/>
      </w:tabs>
      <w:ind w:left="7296" w:leftChars="2280" w:firstLine="6400" w:firstLineChars="2000"/>
      <w:rPr>
        <w:rFonts w:eastAsia="仿宋"/>
        <w:sz w:val="32"/>
        <w:szCs w:val="48"/>
      </w:rPr>
    </w:pPr>
    <w:r>
      <w:rPr>
        <w:sz w:val="32"/>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IOguJYsAgAAVwQAAA4AAAAAAAAAAQAgAAAANQEAAGRy&#10;cy9lMm9Eb2MueG1sUEsFBgAAAAAGAAYAWQEAANMFAAAAAA==&#10;">
              <v:fill on="f" focussize="0,0"/>
              <v:stroke on="f" weight="0.5pt"/>
              <v:imagedata o:title=""/>
              <o:lock v:ext="edit" aspectratio="f"/>
              <v:textbox inset="0mm,0mm,0mm,0mm" style="mso-fit-shape-to-text:t;">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eastAsia="zh-CN"/>
      </w:rPr>
      <w:tab/>
    </w:r>
    <w:r>
      <w:rPr>
        <w:rFonts w:hint="eastAsia" w:eastAsia="仿宋"/>
        <w:sz w:val="32"/>
        <w:szCs w:val="48"/>
      </w:rPr>
      <w:t xml:space="preserve">  </w:t>
    </w:r>
  </w:p>
  <w:p>
    <w:pPr>
      <w:pStyle w:val="9"/>
      <w:wordWrap w:val="0"/>
      <w:ind w:left="5773" w:leftChars="1804" w:firstLine="7920" w:firstLineChars="2475"/>
      <w:jc w:val="right"/>
      <w:rPr>
        <w:rFonts w:hint="eastAsia" w:ascii="宋体" w:hAnsi="宋体" w:eastAsia="宋体" w:cs="宋体"/>
        <w:b/>
        <w:bCs/>
        <w:color w:val="005192"/>
        <w:sz w:val="28"/>
        <w:szCs w:val="44"/>
        <w:lang w:eastAsia="zh-CN"/>
      </w:rPr>
    </w:pPr>
    <w:r>
      <w:rPr>
        <w:color w:val="FAFAFA"/>
        <w:sz w:val="32"/>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48895</wp:posOffset>
              </wp:positionV>
              <wp:extent cx="8263890" cy="25400"/>
              <wp:effectExtent l="0" t="10795" r="3810" b="20955"/>
              <wp:wrapNone/>
              <wp:docPr id="16" name="直接连接符 16"/>
              <wp:cNvGraphicFramePr/>
              <a:graphic xmlns:a="http://schemas.openxmlformats.org/drawingml/2006/main">
                <a:graphicData uri="http://schemas.microsoft.com/office/word/2010/wordprocessingShape">
                  <wps:wsp>
                    <wps:cNvCnPr/>
                    <wps:spPr>
                      <a:xfrm flipV="1">
                        <a:off x="0" y="0"/>
                        <a:ext cx="8263890" cy="2540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0pt;margin-top:3.85pt;height:2pt;width:650.7pt;z-index:251663360;mso-width-relative:page;mso-height-relative:page;" filled="f" stroked="t" coordsize="21600,21600" o:gfxdata="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BYAAABkcnMvUEsBAhQAFAAAAAgAh07iQC5ttsvXAAAABgEAAA8AAAAAAAAAAQAgAAAAOAAA&#10;AGRycy9kb3ducmV2LnhtbFBLAQIUABQAAAAIAIdO4kADCIYy8wEAAMIDAAAOAAAAAAAAAAEAIAAA&#10;ADwBAABkcnMvZTJvRG9jLnhtbFBLBQYAAAAABgAGAFkBAAChBQ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芜湖市</w:t>
    </w:r>
    <w:r>
      <w:rPr>
        <w:rFonts w:hint="eastAsia" w:ascii="宋体" w:hAnsi="宋体" w:eastAsia="宋体" w:cs="宋体"/>
        <w:b/>
        <w:bCs/>
        <w:color w:val="005192"/>
        <w:sz w:val="28"/>
        <w:szCs w:val="44"/>
        <w:lang w:eastAsia="zh-CN"/>
      </w:rPr>
      <w:t>医疗保障局</w:t>
    </w:r>
    <w:r>
      <w:rPr>
        <w:rFonts w:hint="eastAsia" w:ascii="宋体" w:hAnsi="宋体" w:eastAsia="宋体" w:cs="宋体"/>
        <w:b/>
        <w:bCs/>
        <w:color w:val="005192"/>
        <w:sz w:val="28"/>
        <w:szCs w:val="44"/>
      </w:rPr>
      <w:t>发布</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left" w:pos="8289"/>
        <w:tab w:val="clear" w:pos="4153"/>
      </w:tabs>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15940" cy="0"/>
              <wp:effectExtent l="0" t="10795" r="7620" b="12065"/>
              <wp:wrapNone/>
              <wp:docPr id="4" name="直接连接符 4"/>
              <wp:cNvGraphicFramePr/>
              <a:graphic xmlns:a="http://schemas.openxmlformats.org/drawingml/2006/main">
                <a:graphicData uri="http://schemas.microsoft.com/office/word/2010/wordprocessingShape">
                  <wps:wsp>
                    <wps:cNvCnPr/>
                    <wps:spPr>
                      <a:xfrm>
                        <a:off x="4133850" y="864870"/>
                        <a:ext cx="561594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2pt;z-index:251659264;mso-width-relative:page;mso-height-relative:page;" filled="f" stroked="t" coordsize="21600,21600" o:gfxdata="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WAAAAZHJzL1BLAQIUABQAAAAIAIdO4kDor+su1AAAAAkBAAAPAAAAAAAAAAEAIAAAADgAAABk&#10;cnMvZG93bnJldi54bWxQSwECFAAUAAAACACHTuJAgleG4vQBAAC9AwAADgAAAAAAAAABACAAAAA5&#10;AQAAZHJzL2Uyb0RvYy54bWxQSwUGAAAAAAYABgBZAQAAnwUAAAAA&#10;">
              <v:fill on="f" focussize="0,0"/>
              <v:stroke weight="1.75pt" color="#005192 [3204]" miterlimit="8" joinstyle="miter"/>
              <v:imagedata o:title=""/>
              <o:lock v:ext="edit" aspectratio="f"/>
            </v:line>
          </w:pict>
        </mc:Fallback>
      </mc:AlternateContent>
    </w:r>
    <w:r>
      <w:rPr>
        <w:rFonts w:hint="eastAsia" w:ascii="宋体" w:hAnsi="宋体" w:cs="宋体"/>
        <w:b/>
        <w:bCs/>
        <w:color w:val="005192"/>
        <w:sz w:val="32"/>
        <w:lang w:eastAsia="zh-CN"/>
      </w:rPr>
      <w:tab/>
    </w:r>
  </w:p>
  <w:p>
    <w:pPr>
      <w:pStyle w:val="9"/>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芜湖市</w:t>
    </w:r>
    <w:r>
      <w:rPr>
        <w:rFonts w:hint="eastAsia" w:ascii="宋体" w:hAnsi="宋体" w:eastAsia="宋体" w:cs="宋体"/>
        <w:b/>
        <w:bCs/>
        <w:color w:val="005192"/>
        <w:sz w:val="32"/>
        <w:szCs w:val="32"/>
        <w:lang w:eastAsia="zh-CN"/>
      </w:rPr>
      <w:t>医疗保障局</w:t>
    </w:r>
    <w:r>
      <w:rPr>
        <w:rFonts w:hint="eastAsia" w:ascii="宋体" w:hAnsi="宋体" w:eastAsia="宋体" w:cs="宋体"/>
        <w:b/>
        <w:bCs/>
        <w:color w:val="005192"/>
        <w:sz w:val="32"/>
        <w:szCs w:val="32"/>
        <w:lang w:val="en-US" w:eastAsia="zh-CN"/>
      </w:rPr>
      <w:t>行政规范性文件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left" w:pos="8289"/>
        <w:tab w:val="clear" w:pos="4153"/>
      </w:tabs>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mc:AlternateContent>
        <mc:Choice Requires="wps">
          <w:drawing>
            <wp:anchor distT="0" distB="0" distL="114300" distR="114300" simplePos="0" relativeHeight="251662336" behindDoc="0" locked="0" layoutInCell="1" allowOverlap="1">
              <wp:simplePos x="0" y="0"/>
              <wp:positionH relativeFrom="column">
                <wp:posOffset>-3810</wp:posOffset>
              </wp:positionH>
              <wp:positionV relativeFrom="paragraph">
                <wp:posOffset>433705</wp:posOffset>
              </wp:positionV>
              <wp:extent cx="8267700" cy="9525"/>
              <wp:effectExtent l="0" t="0" r="0" b="0"/>
              <wp:wrapNone/>
              <wp:docPr id="13" name="直接连接符 13"/>
              <wp:cNvGraphicFramePr/>
              <a:graphic xmlns:a="http://schemas.openxmlformats.org/drawingml/2006/main">
                <a:graphicData uri="http://schemas.microsoft.com/office/word/2010/wordprocessingShape">
                  <wps:wsp>
                    <wps:cNvCnPr/>
                    <wps:spPr>
                      <a:xfrm flipV="1">
                        <a:off x="4133850" y="864870"/>
                        <a:ext cx="8267700" cy="952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0.3pt;margin-top:34.15pt;height:0.75pt;width:651pt;z-index:251662336;mso-width-relative:page;mso-height-relative:page;" filled="f" stroked="t" coordsize="21600,21600" o:gfxdata="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kmf+F9kAAAAIAQAADwAA&#10;AAAAAAABACAAAAA4AAAAZHJzL2Rvd25yZXYueG1sUEsBAhQAFAAAAAgAh07iQKN7hb3/AQAAzAMA&#10;AA4AAAAAAAAAAQAgAAAAPgEAAGRycy9lMm9Eb2MueG1sUEsFBgAAAAAGAAYAWQEAAK8FA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15240" b="15240"/>
          <wp:docPr id="14" name="图片 14"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芜湖市</w:t>
    </w:r>
    <w:r>
      <w:rPr>
        <w:rFonts w:hint="eastAsia" w:ascii="宋体" w:hAnsi="宋体" w:eastAsia="宋体" w:cs="宋体"/>
        <w:b/>
        <w:bCs/>
        <w:color w:val="005192"/>
        <w:sz w:val="32"/>
        <w:szCs w:val="32"/>
        <w:lang w:eastAsia="zh-CN"/>
      </w:rPr>
      <w:t>医疗保障局</w:t>
    </w:r>
    <w:r>
      <w:rPr>
        <w:rFonts w:hint="eastAsia" w:ascii="宋体" w:hAnsi="宋体" w:eastAsia="宋体" w:cs="宋体"/>
        <w:b/>
        <w:bCs/>
        <w:color w:val="005192"/>
        <w:sz w:val="32"/>
        <w:szCs w:val="32"/>
        <w:lang w:val="en-US" w:eastAsia="zh-CN"/>
      </w:rPr>
      <w:t>行政规范性文件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7ADFE5"/>
    <w:multiLevelType w:val="singleLevel"/>
    <w:tmpl w:val="7F7ADFE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22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VhZGZmMWYxNWUwNGI5NzVhNGQ1ZmVjNmM1ODE3ZDgifQ=="/>
  </w:docVars>
  <w:rsids>
    <w:rsidRoot w:val="00172A27"/>
    <w:rsid w:val="000B75E5"/>
    <w:rsid w:val="00103799"/>
    <w:rsid w:val="00172A27"/>
    <w:rsid w:val="00197EF1"/>
    <w:rsid w:val="001D5673"/>
    <w:rsid w:val="00370D60"/>
    <w:rsid w:val="003B0BE9"/>
    <w:rsid w:val="003C2C10"/>
    <w:rsid w:val="00496D91"/>
    <w:rsid w:val="00507124"/>
    <w:rsid w:val="00545D8F"/>
    <w:rsid w:val="005D49CE"/>
    <w:rsid w:val="00650E3A"/>
    <w:rsid w:val="00701CB2"/>
    <w:rsid w:val="007740FE"/>
    <w:rsid w:val="007E5B7F"/>
    <w:rsid w:val="00855681"/>
    <w:rsid w:val="00866D1D"/>
    <w:rsid w:val="00886771"/>
    <w:rsid w:val="008A1132"/>
    <w:rsid w:val="00900219"/>
    <w:rsid w:val="00940255"/>
    <w:rsid w:val="009418D6"/>
    <w:rsid w:val="00AD7101"/>
    <w:rsid w:val="00B305BB"/>
    <w:rsid w:val="00B8333C"/>
    <w:rsid w:val="00BE1AF4"/>
    <w:rsid w:val="00C2647D"/>
    <w:rsid w:val="00DA2E23"/>
    <w:rsid w:val="00ED39D9"/>
    <w:rsid w:val="00F1597D"/>
    <w:rsid w:val="00F17DC1"/>
    <w:rsid w:val="019E71BD"/>
    <w:rsid w:val="032B6C3A"/>
    <w:rsid w:val="033E332C"/>
    <w:rsid w:val="04B679C3"/>
    <w:rsid w:val="052B2C5E"/>
    <w:rsid w:val="05900B27"/>
    <w:rsid w:val="07D34838"/>
    <w:rsid w:val="080F63D8"/>
    <w:rsid w:val="087A5962"/>
    <w:rsid w:val="09341458"/>
    <w:rsid w:val="0B0912D7"/>
    <w:rsid w:val="0EE3051E"/>
    <w:rsid w:val="0FAD3BC0"/>
    <w:rsid w:val="104A7615"/>
    <w:rsid w:val="1277193D"/>
    <w:rsid w:val="142A6579"/>
    <w:rsid w:val="152D2DCA"/>
    <w:rsid w:val="153913E2"/>
    <w:rsid w:val="17DB6A12"/>
    <w:rsid w:val="1DD97D69"/>
    <w:rsid w:val="1DEC284C"/>
    <w:rsid w:val="1E6523AC"/>
    <w:rsid w:val="1FFA7124"/>
    <w:rsid w:val="22440422"/>
    <w:rsid w:val="2A5C1C3C"/>
    <w:rsid w:val="2E9C2BDF"/>
    <w:rsid w:val="31A15F24"/>
    <w:rsid w:val="31B72082"/>
    <w:rsid w:val="35DFA6C7"/>
    <w:rsid w:val="395347B5"/>
    <w:rsid w:val="398E534A"/>
    <w:rsid w:val="39A232A0"/>
    <w:rsid w:val="39E745AA"/>
    <w:rsid w:val="3B5A6BBB"/>
    <w:rsid w:val="3EDA13A6"/>
    <w:rsid w:val="3FC610CA"/>
    <w:rsid w:val="3FC82FE6"/>
    <w:rsid w:val="3FF21DD0"/>
    <w:rsid w:val="426C7225"/>
    <w:rsid w:val="42F058B7"/>
    <w:rsid w:val="436109F6"/>
    <w:rsid w:val="441A38D4"/>
    <w:rsid w:val="447A10D3"/>
    <w:rsid w:val="494553A6"/>
    <w:rsid w:val="4A5162EE"/>
    <w:rsid w:val="4B0A0B56"/>
    <w:rsid w:val="4BC77339"/>
    <w:rsid w:val="4C9236C5"/>
    <w:rsid w:val="505C172E"/>
    <w:rsid w:val="52C74409"/>
    <w:rsid w:val="52F46F0B"/>
    <w:rsid w:val="53D8014D"/>
    <w:rsid w:val="5550603F"/>
    <w:rsid w:val="55A56411"/>
    <w:rsid w:val="55E064E0"/>
    <w:rsid w:val="5660369E"/>
    <w:rsid w:val="572C6D10"/>
    <w:rsid w:val="572E5B31"/>
    <w:rsid w:val="5B5FA6AF"/>
    <w:rsid w:val="5BFFF659"/>
    <w:rsid w:val="5DC34279"/>
    <w:rsid w:val="608816D1"/>
    <w:rsid w:val="60EF4E7F"/>
    <w:rsid w:val="632B726B"/>
    <w:rsid w:val="665233C1"/>
    <w:rsid w:val="67750F81"/>
    <w:rsid w:val="697051F4"/>
    <w:rsid w:val="6A791FC5"/>
    <w:rsid w:val="6AD45862"/>
    <w:rsid w:val="6AD9688B"/>
    <w:rsid w:val="6AEE1AB5"/>
    <w:rsid w:val="6C681542"/>
    <w:rsid w:val="6D0E3F22"/>
    <w:rsid w:val="6F2B6B62"/>
    <w:rsid w:val="6F8477EE"/>
    <w:rsid w:val="6FBC5506"/>
    <w:rsid w:val="6FBE002D"/>
    <w:rsid w:val="6FFB610F"/>
    <w:rsid w:val="70D53502"/>
    <w:rsid w:val="737C3597"/>
    <w:rsid w:val="73826795"/>
    <w:rsid w:val="73FEA80F"/>
    <w:rsid w:val="74F1485B"/>
    <w:rsid w:val="769ECE13"/>
    <w:rsid w:val="77BFC9F2"/>
    <w:rsid w:val="77F9C3FB"/>
    <w:rsid w:val="79FE088A"/>
    <w:rsid w:val="7BB7D3DF"/>
    <w:rsid w:val="7BBDD49F"/>
    <w:rsid w:val="7C844D47"/>
    <w:rsid w:val="7C9011D9"/>
    <w:rsid w:val="7D5DD78A"/>
    <w:rsid w:val="7DC651C5"/>
    <w:rsid w:val="7DCF8920"/>
    <w:rsid w:val="7DDD62F1"/>
    <w:rsid w:val="7DF7A2D5"/>
    <w:rsid w:val="7EF9B149"/>
    <w:rsid w:val="7F73F4E5"/>
    <w:rsid w:val="7FCC2834"/>
    <w:rsid w:val="AEFF0F06"/>
    <w:rsid w:val="B7EF95B7"/>
    <w:rsid w:val="D75F3A12"/>
    <w:rsid w:val="DC7F1026"/>
    <w:rsid w:val="DFAF832E"/>
    <w:rsid w:val="DFB61B66"/>
    <w:rsid w:val="DFFF91E8"/>
    <w:rsid w:val="E06DDFEA"/>
    <w:rsid w:val="EF57A851"/>
    <w:rsid w:val="EFF76138"/>
    <w:rsid w:val="EFFE16E0"/>
    <w:rsid w:val="F09B5780"/>
    <w:rsid w:val="F8FF61D6"/>
    <w:rsid w:val="F993D886"/>
    <w:rsid w:val="FBBEDE69"/>
    <w:rsid w:val="FDFB0CDC"/>
    <w:rsid w:val="FEBF87C4"/>
    <w:rsid w:val="FFEF57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cs="Times New Roman"/>
      <w:szCs w:val="20"/>
    </w:rPr>
  </w:style>
  <w:style w:type="paragraph" w:styleId="3">
    <w:name w:val="annotation text"/>
    <w:basedOn w:val="1"/>
    <w:qFormat/>
    <w:uiPriority w:val="0"/>
    <w:pPr>
      <w:jc w:val="left"/>
    </w:pPr>
  </w:style>
  <w:style w:type="paragraph" w:styleId="4">
    <w:name w:val="Body Text"/>
    <w:basedOn w:val="1"/>
    <w:semiHidden/>
    <w:qFormat/>
    <w:uiPriority w:val="0"/>
    <w:rPr>
      <w:rFonts w:ascii="Arial" w:hAnsi="Arial" w:eastAsia="Arial" w:cs="Arial"/>
      <w:sz w:val="21"/>
      <w:szCs w:val="21"/>
      <w:lang w:val="en-US" w:eastAsia="en-US" w:bidi="ar-SA"/>
    </w:rPr>
  </w:style>
  <w:style w:type="paragraph" w:styleId="5">
    <w:name w:val="index 4"/>
    <w:basedOn w:val="1"/>
    <w:next w:val="1"/>
    <w:qFormat/>
    <w:uiPriority w:val="0"/>
    <w:pPr>
      <w:ind w:left="600" w:leftChars="600"/>
    </w:pPr>
  </w:style>
  <w:style w:type="paragraph" w:styleId="6">
    <w:name w:val="Plain Text"/>
    <w:basedOn w:val="1"/>
    <w:link w:val="17"/>
    <w:qFormat/>
    <w:uiPriority w:val="0"/>
    <w:rPr>
      <w:rFonts w:ascii="宋体" w:hAnsi="Courier New" w:eastAsia="仿宋_GB2312" w:cs="Courier New"/>
      <w:sz w:val="32"/>
      <w:szCs w:val="21"/>
    </w:rPr>
  </w:style>
  <w:style w:type="paragraph" w:styleId="7">
    <w:name w:val="Body Text Indent 2"/>
    <w:basedOn w:val="1"/>
    <w:next w:val="1"/>
    <w:qFormat/>
    <w:uiPriority w:val="0"/>
    <w:pPr>
      <w:spacing w:after="120" w:line="480" w:lineRule="auto"/>
      <w:ind w:left="420" w:leftChars="200"/>
    </w:pPr>
  </w:style>
  <w:style w:type="paragraph" w:styleId="8">
    <w:name w:val="footer"/>
    <w:basedOn w:val="1"/>
    <w:next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Body Text 2"/>
    <w:basedOn w:val="1"/>
    <w:unhideWhenUsed/>
    <w:qFormat/>
    <w:uiPriority w:val="99"/>
    <w:pPr>
      <w:spacing w:after="120" w:line="480" w:lineRule="auto"/>
    </w:pPr>
    <w:rPr>
      <w:rFonts w:ascii="Calibri" w:hAnsi="Calibri" w:eastAsia="宋体" w:cs="Times New Roman"/>
    </w:rPr>
  </w:style>
  <w:style w:type="paragraph" w:styleId="11">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table" w:styleId="13">
    <w:name w:val="Table Grid"/>
    <w:basedOn w:val="12"/>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styleId="16">
    <w:name w:val="annotation reference"/>
    <w:basedOn w:val="14"/>
    <w:qFormat/>
    <w:uiPriority w:val="0"/>
    <w:rPr>
      <w:sz w:val="21"/>
      <w:szCs w:val="21"/>
    </w:rPr>
  </w:style>
  <w:style w:type="character" w:customStyle="1" w:styleId="17">
    <w:name w:val="纯文本 字符"/>
    <w:basedOn w:val="14"/>
    <w:link w:val="6"/>
    <w:qFormat/>
    <w:uiPriority w:val="0"/>
    <w:rPr>
      <w:rFonts w:ascii="宋体" w:hAnsi="Courier New" w:eastAsia="仿宋_GB2312" w:cs="Courier New"/>
      <w:kern w:val="2"/>
      <w:sz w:val="32"/>
      <w:szCs w:val="21"/>
    </w:rPr>
  </w:style>
  <w:style w:type="paragraph" w:customStyle="1" w:styleId="18">
    <w:name w:val="_Style 9"/>
    <w:basedOn w:val="1"/>
    <w:next w:val="19"/>
    <w:qFormat/>
    <w:uiPriority w:val="99"/>
    <w:pPr>
      <w:ind w:firstLine="420" w:firstLineChars="200"/>
    </w:pPr>
    <w:rPr>
      <w:rFonts w:ascii="Times New Roman" w:hAnsi="Times New Roman" w:eastAsia="宋体" w:cs="Times New Roman"/>
      <w:szCs w:val="21"/>
    </w:rPr>
  </w:style>
  <w:style w:type="paragraph" w:styleId="19">
    <w:name w:val="List Paragraph"/>
    <w:basedOn w:val="1"/>
    <w:qFormat/>
    <w:uiPriority w:val="99"/>
    <w:pPr>
      <w:ind w:firstLine="420" w:firstLineChars="200"/>
    </w:pPr>
  </w:style>
  <w:style w:type="character" w:customStyle="1" w:styleId="20">
    <w:name w:val="font21"/>
    <w:basedOn w:val="14"/>
    <w:qFormat/>
    <w:uiPriority w:val="0"/>
    <w:rPr>
      <w:rFonts w:hint="eastAsia" w:ascii="宋体" w:hAnsi="宋体" w:eastAsia="宋体" w:cs="宋体"/>
      <w:color w:val="000000"/>
      <w:sz w:val="24"/>
      <w:szCs w:val="24"/>
      <w:u w:val="none"/>
    </w:rPr>
  </w:style>
  <w:style w:type="paragraph" w:customStyle="1" w:styleId="21">
    <w:name w:val="Table Text"/>
    <w:basedOn w:val="1"/>
    <w:semiHidden/>
    <w:qFormat/>
    <w:uiPriority w:val="0"/>
    <w:rPr>
      <w:rFonts w:ascii="宋体" w:hAnsi="宋体" w:eastAsia="宋体" w:cs="宋体"/>
      <w:sz w:val="24"/>
      <w:szCs w:val="24"/>
      <w:lang w:val="en-US" w:eastAsia="en-US" w:bidi="ar-SA"/>
    </w:rPr>
  </w:style>
  <w:style w:type="table" w:customStyle="1" w:styleId="22">
    <w:name w:val="Table Normal"/>
    <w:unhideWhenUsed/>
    <w:qFormat/>
    <w:uiPriority w:val="0"/>
    <w:tblPr>
      <w:tblCellMar>
        <w:top w:w="0" w:type="dxa"/>
        <w:left w:w="0" w:type="dxa"/>
        <w:bottom w:w="0" w:type="dxa"/>
        <w:right w:w="0" w:type="dxa"/>
      </w:tblCellMar>
    </w:tblPr>
  </w:style>
  <w:style w:type="character" w:customStyle="1" w:styleId="23">
    <w:name w:val="font81"/>
    <w:basedOn w:val="14"/>
    <w:qFormat/>
    <w:uiPriority w:val="0"/>
    <w:rPr>
      <w:rFonts w:hint="eastAsia" w:ascii="黑体" w:hAnsi="宋体" w:eastAsia="黑体" w:cs="黑体"/>
      <w:color w:val="000000"/>
      <w:sz w:val="28"/>
      <w:szCs w:val="28"/>
      <w:u w:val="none"/>
    </w:rPr>
  </w:style>
  <w:style w:type="character" w:customStyle="1" w:styleId="24">
    <w:name w:val="font11"/>
    <w:basedOn w:val="14"/>
    <w:qFormat/>
    <w:uiPriority w:val="0"/>
    <w:rPr>
      <w:rFonts w:hint="eastAsia" w:ascii="宋体" w:hAnsi="宋体" w:eastAsia="宋体" w:cs="宋体"/>
      <w:color w:val="000000"/>
      <w:sz w:val="19"/>
      <w:szCs w:val="19"/>
      <w:u w:val="none"/>
    </w:rPr>
  </w:style>
  <w:style w:type="character" w:customStyle="1" w:styleId="25">
    <w:name w:val="font101"/>
    <w:basedOn w:val="14"/>
    <w:qFormat/>
    <w:uiPriority w:val="0"/>
    <w:rPr>
      <w:rFonts w:hint="eastAsia" w:ascii="宋体" w:hAnsi="宋体" w:eastAsia="宋体" w:cs="宋体"/>
      <w:b/>
      <w:color w:val="000000"/>
      <w:sz w:val="19"/>
      <w:szCs w:val="19"/>
      <w:u w:val="none"/>
    </w:rPr>
  </w:style>
  <w:style w:type="character" w:customStyle="1" w:styleId="26">
    <w:name w:val="font91"/>
    <w:basedOn w:val="14"/>
    <w:qFormat/>
    <w:uiPriority w:val="0"/>
    <w:rPr>
      <w:rFonts w:hint="eastAsia" w:ascii="仿宋_GB2312" w:eastAsia="仿宋_GB2312" w:cs="仿宋_GB2312"/>
      <w:color w:val="000000"/>
      <w:sz w:val="19"/>
      <w:szCs w:val="19"/>
      <w:u w:val="none"/>
    </w:rPr>
  </w:style>
  <w:style w:type="character" w:customStyle="1" w:styleId="27">
    <w:name w:val="font01"/>
    <w:basedOn w:val="14"/>
    <w:qFormat/>
    <w:uiPriority w:val="0"/>
    <w:rPr>
      <w:rFonts w:hint="default" w:ascii="Times New Roman" w:hAnsi="Times New Roman" w:cs="Times New Roman"/>
      <w:color w:val="000000"/>
      <w:sz w:val="19"/>
      <w:szCs w:val="19"/>
      <w:u w:val="none"/>
    </w:rPr>
  </w:style>
  <w:style w:type="character" w:customStyle="1" w:styleId="28">
    <w:name w:val="font51"/>
    <w:basedOn w:val="14"/>
    <w:qFormat/>
    <w:uiPriority w:val="0"/>
    <w:rPr>
      <w:rFonts w:hint="eastAsia" w:ascii="黑体" w:hAnsi="宋体" w:eastAsia="黑体" w:cs="黑体"/>
      <w:color w:val="000000"/>
      <w:sz w:val="27"/>
      <w:szCs w:val="27"/>
      <w:u w:val="none"/>
    </w:rPr>
  </w:style>
  <w:style w:type="character" w:customStyle="1" w:styleId="29">
    <w:name w:val="font61"/>
    <w:basedOn w:val="14"/>
    <w:qFormat/>
    <w:uiPriority w:val="0"/>
    <w:rPr>
      <w:rFonts w:hint="eastAsia" w:ascii="宋体" w:hAnsi="宋体" w:eastAsia="宋体" w:cs="宋体"/>
      <w:b/>
      <w:color w:val="000000"/>
      <w:sz w:val="19"/>
      <w:szCs w:val="19"/>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38</Pages>
  <Words>13080</Words>
  <Characters>13232</Characters>
  <Lines>30</Lines>
  <Paragraphs>8</Paragraphs>
  <TotalTime>4</TotalTime>
  <ScaleCrop>false</ScaleCrop>
  <LinksUpToDate>false</LinksUpToDate>
  <CharactersWithSpaces>13806</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2021-12-08T23:33:00Z</dcterms:created>
  <dc:creator>t</dc:creator>
  <cp:lastModifiedBy>陈两岁</cp:lastModifiedBy>
  <cp:lastPrinted>2021-10-30T19:30:00Z</cp:lastPrinted>
  <dcterms:modified xsi:type="dcterms:W3CDTF">2026-07-17T10:35:05Z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490C2ABB635C433CBB20168B68D2FCB7</vt:lpwstr>
  </property>
  <property fmtid="{D5CDD505-2E9C-101B-9397-08002B2CF9AE}" pid="4" name="KSOTemplateDocerSaveRecord">
    <vt:lpwstr>eyJoZGlkIjoiOWU5ZDE1OTAwNjBhMjc3MGE2ZWFiM2M0ZWRjZTljZTciLCJ1c2VySWQiOiIyOTg0NDIzNzAifQ==</vt:lpwstr>
  </property>
</Properties>
</file>