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0" w:lineRule="exact"/>
        <w:ind w:firstLine="420" w:firstLineChars="200"/>
        <w:jc w:val="left"/>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outlineLvl w:val="9"/>
        <w:rPr>
          <w:rFonts w:hint="default" w:ascii="Times New Roman" w:hAnsi="Times New Roman" w:eastAsia="楷体_GB2312"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关于进一步优化市场调节价备案工作和加强医</w:t>
      </w: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疗服务价格监测的通知（试行）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58" w:beforeAutospacing="0" w:after="158" w:afterAutospacing="0" w:line="590" w:lineRule="exact"/>
        <w:ind w:left="0" w:right="0" w:firstLine="0"/>
        <w:jc w:val="center"/>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sz w:val="32"/>
          <w:szCs w:val="32"/>
        </w:rPr>
        <w:t>芜</w:t>
      </w:r>
      <w:r>
        <w:rPr>
          <w:rFonts w:hint="default" w:ascii="Times New Roman" w:hAnsi="Times New Roman" w:eastAsia="方正仿宋_GBK" w:cs="Times New Roman"/>
          <w:color w:val="000000"/>
          <w:sz w:val="32"/>
          <w:szCs w:val="32"/>
          <w:lang w:eastAsia="zh-CN"/>
        </w:rPr>
        <w:t>医保</w:t>
      </w:r>
      <w:r>
        <w:rPr>
          <w:rFonts w:hint="default" w:ascii="Times New Roman" w:hAnsi="Times New Roman" w:eastAsia="方正仿宋_GBK" w:cs="Times New Roman"/>
          <w:color w:val="000000"/>
          <w:sz w:val="32"/>
          <w:szCs w:val="32"/>
        </w:rPr>
        <w:t>〔20</w:t>
      </w:r>
      <w:r>
        <w:rPr>
          <w:rFonts w:hint="default" w:ascii="Times New Roman" w:hAnsi="Times New Roman" w:eastAsia="方正仿宋_GBK" w:cs="Times New Roman"/>
          <w:color w:val="000000"/>
          <w:sz w:val="32"/>
          <w:szCs w:val="32"/>
          <w:lang w:val="en-US" w:eastAsia="zh-CN"/>
        </w:rPr>
        <w:t>26</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号</w:t>
      </w:r>
    </w:p>
    <w:p>
      <w:pPr>
        <w:pStyle w:val="5"/>
        <w:keepNext w:val="0"/>
        <w:keepLines w:val="0"/>
        <w:pageBreakBefore w:val="0"/>
        <w:widowControl w:val="0"/>
        <w:kinsoku/>
        <w:wordWrap/>
        <w:overflowPunct/>
        <w:topLinePunct w:val="0"/>
        <w:autoSpaceDE/>
        <w:autoSpaceDN/>
        <w:bidi w:val="0"/>
        <w:adjustRightInd/>
        <w:snapToGrid/>
        <w:spacing w:line="590" w:lineRule="exact"/>
        <w:ind w:firstLine="420"/>
        <w:jc w:val="left"/>
        <w:textAlignment w:val="auto"/>
        <w:rPr>
          <w:rFonts w:hint="default" w:ascii="Times New Roman" w:hAnsi="Times New Roman" w:cs="Times New Roman"/>
          <w:lang w:val="en-US" w:eastAsia="zh-CN"/>
        </w:rPr>
      </w:pPr>
    </w:p>
    <w:p>
      <w:pPr>
        <w:pStyle w:val="5"/>
        <w:keepNext w:val="0"/>
        <w:keepLines w:val="0"/>
        <w:pageBreakBefore w:val="0"/>
        <w:kinsoku/>
        <w:overflowPunct/>
        <w:topLinePunct w:val="0"/>
        <w:autoSpaceDE/>
        <w:autoSpaceDN/>
        <w:bidi w:val="0"/>
        <w:spacing w:line="590" w:lineRule="exact"/>
        <w:ind w:left="0" w:leftChars="0" w:firstLine="0" w:firstLineChars="0"/>
        <w:jc w:val="left"/>
        <w:textAlignment w:val="auto"/>
        <w:rPr>
          <w:rFonts w:hint="default" w:ascii="Times New Roman" w:hAnsi="Times New Roman" w:eastAsia="方正仿宋_GBK" w:cs="Times New Roman"/>
          <w:i w:val="0"/>
          <w:iCs w:val="0"/>
          <w:caps w:val="0"/>
          <w:color w:val="auto"/>
          <w:spacing w:val="5"/>
          <w:kern w:val="0"/>
          <w:sz w:val="32"/>
          <w:szCs w:val="32"/>
          <w:shd w:val="clear" w:color="auto" w:fill="FFFFFF"/>
          <w:lang w:val="en-US" w:eastAsia="zh-CN" w:bidi="ar"/>
        </w:rPr>
      </w:pPr>
      <w:r>
        <w:rPr>
          <w:rFonts w:hint="default" w:ascii="Times New Roman" w:hAnsi="Times New Roman" w:eastAsia="方正仿宋_GBK" w:cs="Times New Roman"/>
          <w:i w:val="0"/>
          <w:iCs w:val="0"/>
          <w:caps w:val="0"/>
          <w:color w:val="auto"/>
          <w:spacing w:val="5"/>
          <w:kern w:val="0"/>
          <w:sz w:val="32"/>
          <w:szCs w:val="32"/>
          <w:shd w:val="clear" w:color="auto" w:fill="FFFFFF"/>
          <w:lang w:val="en-US" w:eastAsia="zh-CN" w:bidi="ar"/>
        </w:rPr>
        <w:t>各县市区医保分局、直属分局，市价采中心，市属公立医院：</w:t>
      </w:r>
    </w:p>
    <w:p>
      <w:pPr>
        <w:pStyle w:val="5"/>
        <w:keepNext w:val="0"/>
        <w:keepLines w:val="0"/>
        <w:pageBreakBefore w:val="0"/>
        <w:kinsoku/>
        <w:overflowPunct/>
        <w:topLinePunct w:val="0"/>
        <w:autoSpaceDE/>
        <w:autoSpaceDN/>
        <w:bidi w:val="0"/>
        <w:spacing w:line="590" w:lineRule="exact"/>
        <w:ind w:left="0" w:leftChars="0" w:firstLine="640"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根据国家医保局等八部委《关于印发《深化医疗服务价格改革试点方案》的通知》（医保发〔2021〕41号）《国家医疗保障局办公室关于进一步做好医疗服务价格管理工作的通知》（医保办发〔2022〕16号）《安徽省医疗保障局 安徽省卫生健康委员关于进一步完善公立医疗机构特需医疗服务管理的通知》（皖医保秘〔2024〕18号）等文件精神。为进一步提高医疗服务价格工作的主动性、科学性、规范性，更好支持新技术在临床的应用，满足多层次医疗服务需求，促进公立医院高质量发展，现就相关工作通知如下：</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黑体_GBK" w:cs="Times New Roman"/>
          <w:color w:val="auto"/>
          <w:kern w:val="2"/>
          <w:sz w:val="32"/>
          <w:szCs w:val="32"/>
          <w:lang w:val="en-US" w:eastAsia="zh-CN" w:bidi="ar-SA"/>
        </w:rPr>
      </w:pPr>
      <w:r>
        <w:rPr>
          <w:rFonts w:hint="default" w:ascii="Times New Roman" w:hAnsi="Times New Roman" w:eastAsia="方正黑体_GBK" w:cs="Times New Roman"/>
          <w:color w:val="auto"/>
          <w:kern w:val="2"/>
          <w:sz w:val="32"/>
          <w:szCs w:val="32"/>
          <w:lang w:val="en-US" w:eastAsia="zh-CN" w:bidi="ar-SA"/>
        </w:rPr>
        <w:t>一、优化市场调节价项目价格备案</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（一）试行“即备即享”管理</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安徽省试行期内新增项目价格和特需医疗服务项目（含放开项目以下简称“市场调节价项目”）价格实行“即备即享”管理，我市各公立医疗机构自主合理制定市场调节价的医疗服务项目价格，在医疗机构官网公示5个工作日无异议后，将完整备案资料报市价采中心和各医保分局，次日即可开展相关服务。</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（二）自主定价管理要求</w:t>
      </w:r>
    </w:p>
    <w:p>
      <w:pPr>
        <w:pStyle w:val="5"/>
        <w:keepNext w:val="0"/>
        <w:keepLines w:val="0"/>
        <w:pageBreakBefore w:val="0"/>
        <w:kinsoku/>
        <w:overflowPunct/>
        <w:topLinePunct w:val="0"/>
        <w:autoSpaceDE/>
        <w:autoSpaceDN/>
        <w:bidi w:val="0"/>
        <w:spacing w:line="590" w:lineRule="exact"/>
        <w:ind w:firstLine="642"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1.定价原则。</w:t>
      </w:r>
      <w:r>
        <w:rPr>
          <w:rFonts w:hint="default" w:ascii="Times New Roman" w:hAnsi="Times New Roman" w:eastAsia="方正仿宋_GBK" w:cs="Times New Roman"/>
          <w:color w:val="auto"/>
          <w:kern w:val="2"/>
          <w:sz w:val="32"/>
          <w:szCs w:val="32"/>
          <w:lang w:val="en-US" w:eastAsia="zh-CN" w:bidi="ar-SA"/>
        </w:rPr>
        <w:t>公立医疗机构确定市场调节价项目价格时，应根据项目规定的内涵耗材、人力消耗、设备折旧、间接费用、技术含量、风险程度等，按照公平合理、诚实信用、质价相符的原则，兼顾同地区同层次医疗机构比价关系，地区经济发展和群众承受能力制定价格，价格水平应与医疗机构等级、专业地位、功能定位、医技水平相匹配。保持同类医疗服务价格项目之间合理的比价关系。市场调节价项目涉及的优势临床学科，允许参照省属医院价格水平或对标长三角、全国先进地区价格水平。</w:t>
      </w:r>
    </w:p>
    <w:p>
      <w:pPr>
        <w:pStyle w:val="5"/>
        <w:keepNext w:val="0"/>
        <w:keepLines w:val="0"/>
        <w:pageBreakBefore w:val="0"/>
        <w:kinsoku/>
        <w:overflowPunct/>
        <w:topLinePunct w:val="0"/>
        <w:autoSpaceDE/>
        <w:autoSpaceDN/>
        <w:bidi w:val="0"/>
        <w:spacing w:line="590" w:lineRule="exact"/>
        <w:ind w:firstLine="642"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2.备案资料。</w:t>
      </w:r>
      <w:r>
        <w:rPr>
          <w:rFonts w:hint="default" w:ascii="Times New Roman" w:hAnsi="Times New Roman" w:eastAsia="方正仿宋_GBK" w:cs="Times New Roman"/>
          <w:color w:val="auto"/>
          <w:kern w:val="2"/>
          <w:sz w:val="32"/>
          <w:szCs w:val="32"/>
          <w:lang w:val="en-US" w:eastAsia="zh-CN" w:bidi="ar-SA"/>
        </w:rPr>
        <w:t>公立医疗机构市场调节价项目价格备案资料包括但不限于以下所列：公立医疗机构市场调节价项目价格备案报告（红头签章）；医疗服务项目成本测算及价格申报表；院内集体讨论会议记录；备案项目开展能力说明；项目要求应当具备开展能力的设施和场景照片；官方网站公示市场调节价项目价格和医院区域内相关收费标准公示照片等。所有资料均需加盖医院公章，医疗机构应对提供的材料真实性、有效性和合法性负责。</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（三）市场调节价监管</w:t>
      </w:r>
    </w:p>
    <w:p>
      <w:pPr>
        <w:pStyle w:val="5"/>
        <w:keepNext w:val="0"/>
        <w:keepLines w:val="0"/>
        <w:pageBreakBefore w:val="0"/>
        <w:kinsoku/>
        <w:overflowPunct/>
        <w:topLinePunct w:val="0"/>
        <w:autoSpaceDE/>
        <w:autoSpaceDN/>
        <w:bidi w:val="0"/>
        <w:spacing w:line="590" w:lineRule="exact"/>
        <w:ind w:firstLine="642"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1.规范管理。</w:t>
      </w:r>
      <w:r>
        <w:rPr>
          <w:rFonts w:hint="default" w:ascii="Times New Roman" w:hAnsi="Times New Roman" w:eastAsia="方正仿宋_GBK" w:cs="Times New Roman"/>
          <w:color w:val="auto"/>
          <w:kern w:val="2"/>
          <w:sz w:val="32"/>
          <w:szCs w:val="32"/>
          <w:lang w:val="en-US" w:eastAsia="zh-CN" w:bidi="ar-SA"/>
        </w:rPr>
        <w:t>公立医疗机构除将上述备案资料纳入项目定价卷宗，还应当将制定市场调节价项目价格的方案、决策文件、涉及的医疗器械注册证、许可证及营业执照（或可查询网址）；成本测算的相关印证材料（医疗器械耗材采购票据或购买合同复印件、人员平均工时成本依据、固定资产折旧证明等）参比价证明材料（不少于3份）等纳入。在医院内部存档备查，并严格执行价格公示制度和事先告知制度，保障患者知情权和选择权。</w:t>
      </w:r>
    </w:p>
    <w:p>
      <w:pPr>
        <w:pStyle w:val="5"/>
        <w:keepNext w:val="0"/>
        <w:keepLines w:val="0"/>
        <w:pageBreakBefore w:val="0"/>
        <w:kinsoku/>
        <w:overflowPunct/>
        <w:topLinePunct w:val="0"/>
        <w:autoSpaceDE/>
        <w:autoSpaceDN/>
        <w:bidi w:val="0"/>
        <w:spacing w:line="590" w:lineRule="exact"/>
        <w:ind w:firstLine="642"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2.强化监管。</w:t>
      </w:r>
      <w:r>
        <w:rPr>
          <w:rFonts w:hint="default" w:ascii="Times New Roman" w:hAnsi="Times New Roman" w:eastAsia="方正仿宋_GBK" w:cs="Times New Roman"/>
          <w:color w:val="auto"/>
          <w:kern w:val="2"/>
          <w:sz w:val="32"/>
          <w:szCs w:val="32"/>
          <w:lang w:val="en-US" w:eastAsia="zh-CN" w:bidi="ar-SA"/>
        </w:rPr>
        <w:t>公立医疗机构应严格控制实行市场调节价的收费项目和费用所占比例，不超过全部医疗服务的10%。医疗机构可每年综合考虑试行期内新增价格项目试行时间及范围、服务数量、矛盾突出程度等因素，提出试行价转归政府指导价的申请。市价采中心和医保各分局收到新备案项目价格，需在一个季度内完成现场检查，检查定价卷宗资料是否完整、备案资料是否真实、项目开展应用情况等。</w:t>
      </w:r>
    </w:p>
    <w:p>
      <w:pPr>
        <w:pStyle w:val="5"/>
        <w:keepNext w:val="0"/>
        <w:keepLines w:val="0"/>
        <w:pageBreakBefore w:val="0"/>
        <w:kinsoku/>
        <w:overflowPunct/>
        <w:topLinePunct w:val="0"/>
        <w:autoSpaceDE/>
        <w:autoSpaceDN/>
        <w:bidi w:val="0"/>
        <w:spacing w:line="590" w:lineRule="exact"/>
        <w:ind w:firstLine="642"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3.问题处置。</w:t>
      </w:r>
      <w:r>
        <w:rPr>
          <w:rFonts w:hint="default" w:ascii="Times New Roman" w:hAnsi="Times New Roman" w:eastAsia="方正仿宋_GBK" w:cs="Times New Roman"/>
          <w:color w:val="auto"/>
          <w:kern w:val="2"/>
          <w:sz w:val="32"/>
          <w:szCs w:val="32"/>
          <w:lang w:val="en-US" w:eastAsia="zh-CN" w:bidi="ar-SA"/>
        </w:rPr>
        <w:t>现场检查或后续监管中发现涉弄虚作假等暂不具备收费条件的，或遇市场调节价项目信访的，即触发“暂停”机制，市医保局对该项目启动“前置备案”程序重新确定备案价格并暂停项目收费，待整改、信访处置完成后恢复，必要时开展函询、约谈等督促整改。</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黑体_GBK" w:cs="Times New Roman"/>
          <w:color w:val="auto"/>
          <w:kern w:val="2"/>
          <w:sz w:val="32"/>
          <w:szCs w:val="32"/>
          <w:lang w:val="en-US" w:eastAsia="zh-CN" w:bidi="ar-SA"/>
        </w:rPr>
      </w:pPr>
      <w:r>
        <w:rPr>
          <w:rFonts w:hint="default" w:ascii="Times New Roman" w:hAnsi="Times New Roman" w:eastAsia="方正黑体_GBK" w:cs="Times New Roman"/>
          <w:color w:val="auto"/>
          <w:kern w:val="2"/>
          <w:sz w:val="32"/>
          <w:szCs w:val="32"/>
          <w:lang w:val="en-US" w:eastAsia="zh-CN" w:bidi="ar-SA"/>
        </w:rPr>
        <w:t>二、加强医疗服务价格监测</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（一）提升监测频次。</w:t>
      </w:r>
      <w:r>
        <w:rPr>
          <w:rFonts w:hint="default" w:ascii="Times New Roman" w:hAnsi="Times New Roman" w:eastAsia="方正仿宋_GBK" w:cs="Times New Roman"/>
          <w:color w:val="auto"/>
          <w:kern w:val="2"/>
          <w:sz w:val="32"/>
          <w:szCs w:val="32"/>
          <w:lang w:val="en-US" w:eastAsia="zh-CN" w:bidi="ar-SA"/>
        </w:rPr>
        <w:t>新备案的市场调节价项目，备案首年按季度开展监测（附件1），次年纳入年度监测。实施医共体管理的县（市）区分局，负责辖区内公立医疗机构市场调节价项目价格备案管理工作，每季度末次月10日前报送上一季度新备案项目价格和监测数据；市价采中心负责市属公立医院、镜湖、弋江、鸠江、经开区公立医疗机构市场调节价项目价格备案管理工作，每季度末次月15日前完成上一季度全市公立医疗机构市场调节价项目备案价格信息集中公布工作。</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（二）强化数据赋能。</w:t>
      </w:r>
      <w:r>
        <w:rPr>
          <w:rFonts w:hint="default" w:ascii="Times New Roman" w:hAnsi="Times New Roman" w:eastAsia="方正仿宋_GBK" w:cs="Times New Roman"/>
          <w:color w:val="auto"/>
          <w:kern w:val="2"/>
          <w:sz w:val="32"/>
          <w:szCs w:val="32"/>
          <w:lang w:val="en-US" w:eastAsia="zh-CN" w:bidi="ar-SA"/>
        </w:rPr>
        <w:t>开展公立医疗机构医疗服务项目开展情况监测（附件2），公立医疗机构每年3月报送上一年度服务数据。为医疗服务价格总量调控、分类形成、动态调整、监测成效提供真实数据支撑。畅通沟通协商机制，及时回应临床关切，邀请医务人员参与价格形成，引导医疗机构主动履行医疗服务成本管控、优化医药费用结构、拓展价格调整空间等责任。进一步提升医疗服务价格管理水平。</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黑体_GBK" w:cs="Times New Roman"/>
          <w:color w:val="auto"/>
          <w:kern w:val="2"/>
          <w:sz w:val="32"/>
          <w:szCs w:val="32"/>
          <w:lang w:val="en-US" w:eastAsia="zh-CN" w:bidi="ar-SA"/>
        </w:rPr>
      </w:pPr>
      <w:r>
        <w:rPr>
          <w:rFonts w:hint="default" w:ascii="Times New Roman" w:hAnsi="Times New Roman" w:eastAsia="方正黑体_GBK" w:cs="Times New Roman"/>
          <w:color w:val="auto"/>
          <w:kern w:val="2"/>
          <w:sz w:val="32"/>
          <w:szCs w:val="32"/>
          <w:lang w:val="en-US" w:eastAsia="zh-CN" w:bidi="ar-SA"/>
        </w:rPr>
        <w:t>三、其他要求</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所有公立医院、医共体牵头单位及具有一定规模的公立基层医疗机构（各分局选择不少于3家），每年3月需报送上年度医疗服务项目开展情况监测表。市属公立医院直接报送，各分局负责辖区内机构统一报送。</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报送邮箱：whygypk@126.com。</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本通知自印发之日起试行三年，凡以前规定与本通知不一致的，以本通知为准。国家和省出台有关新规定的，按照最新规定执行。</w:t>
      </w: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仿宋_GBK" w:cs="Times New Roman"/>
          <w:color w:val="auto"/>
          <w:kern w:val="2"/>
          <w:sz w:val="32"/>
          <w:szCs w:val="32"/>
          <w:lang w:val="en-US" w:eastAsia="zh-CN" w:bidi="ar-SA"/>
        </w:rPr>
      </w:pPr>
    </w:p>
    <w:p>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附件：1.新备案市场调节价项目首年季度监测表</w:t>
      </w:r>
    </w:p>
    <w:p>
      <w:pPr>
        <w:pStyle w:val="5"/>
        <w:keepNext w:val="0"/>
        <w:keepLines w:val="0"/>
        <w:pageBreakBefore w:val="0"/>
        <w:kinsoku/>
        <w:overflowPunct/>
        <w:topLinePunct w:val="0"/>
        <w:autoSpaceDE/>
        <w:autoSpaceDN/>
        <w:bidi w:val="0"/>
        <w:spacing w:line="590" w:lineRule="exact"/>
        <w:ind w:firstLine="1600" w:firstLineChars="5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2.</w:t>
      </w:r>
      <w:r>
        <w:rPr>
          <w:rFonts w:hint="default" w:ascii="Times New Roman" w:hAnsi="Times New Roman" w:eastAsia="方正仿宋_GBK" w:cs="Times New Roman"/>
          <w:color w:val="auto"/>
          <w:kern w:val="2"/>
          <w:sz w:val="32"/>
          <w:szCs w:val="32"/>
          <w:u w:val="single"/>
          <w:lang w:val="en-US" w:eastAsia="zh-CN" w:bidi="ar-SA"/>
        </w:rPr>
        <w:t xml:space="preserve">      </w:t>
      </w:r>
      <w:r>
        <w:rPr>
          <w:rFonts w:hint="default" w:ascii="Times New Roman" w:hAnsi="Times New Roman" w:eastAsia="方正仿宋_GBK" w:cs="Times New Roman"/>
          <w:color w:val="auto"/>
          <w:kern w:val="2"/>
          <w:sz w:val="32"/>
          <w:szCs w:val="32"/>
          <w:lang w:val="en-US" w:eastAsia="zh-CN" w:bidi="ar-SA"/>
        </w:rPr>
        <w:t>年度医疗服务价格项目监测表</w:t>
      </w:r>
    </w:p>
    <w:p>
      <w:pPr>
        <w:pStyle w:val="5"/>
        <w:keepNext w:val="0"/>
        <w:keepLines w:val="0"/>
        <w:pageBreakBefore w:val="0"/>
        <w:kinsoku/>
        <w:overflowPunct/>
        <w:topLinePunct w:val="0"/>
        <w:autoSpaceDE/>
        <w:autoSpaceDN/>
        <w:bidi w:val="0"/>
        <w:spacing w:line="590" w:lineRule="exact"/>
        <w:ind w:firstLine="1600" w:firstLineChars="5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 xml:space="preserve">3.市场调节价项目价格备案情况现场对接表 </w:t>
      </w:r>
    </w:p>
    <w:p>
      <w:pPr>
        <w:pStyle w:val="5"/>
        <w:keepNext w:val="0"/>
        <w:keepLines w:val="0"/>
        <w:pageBreakBefore w:val="0"/>
        <w:kinsoku/>
        <w:overflowPunct/>
        <w:topLinePunct w:val="0"/>
        <w:autoSpaceDE/>
        <w:autoSpaceDN/>
        <w:bidi w:val="0"/>
        <w:spacing w:line="590" w:lineRule="exact"/>
        <w:ind w:firstLine="1059" w:firstLineChars="331"/>
        <w:jc w:val="left"/>
        <w:textAlignment w:val="auto"/>
        <w:rPr>
          <w:rFonts w:hint="default" w:ascii="Times New Roman" w:hAnsi="Times New Roman" w:eastAsia="方正仿宋_GBK" w:cs="Times New Roman"/>
          <w:color w:val="auto"/>
          <w:kern w:val="2"/>
          <w:sz w:val="32"/>
          <w:szCs w:val="32"/>
          <w:lang w:val="en-US" w:eastAsia="zh-CN" w:bidi="ar-SA"/>
        </w:rPr>
      </w:pPr>
    </w:p>
    <w:p>
      <w:pPr>
        <w:pStyle w:val="5"/>
        <w:keepNext w:val="0"/>
        <w:keepLines w:val="0"/>
        <w:pageBreakBefore w:val="0"/>
        <w:kinsoku/>
        <w:overflowPunct/>
        <w:topLinePunct w:val="0"/>
        <w:autoSpaceDE/>
        <w:autoSpaceDN/>
        <w:bidi w:val="0"/>
        <w:spacing w:line="590" w:lineRule="exact"/>
        <w:ind w:firstLine="1059" w:firstLineChars="331"/>
        <w:jc w:val="left"/>
        <w:textAlignment w:val="auto"/>
        <w:rPr>
          <w:rFonts w:hint="default" w:ascii="Times New Roman" w:hAnsi="Times New Roman" w:eastAsia="方正仿宋_GBK" w:cs="Times New Roman"/>
          <w:color w:val="auto"/>
          <w:kern w:val="2"/>
          <w:sz w:val="32"/>
          <w:szCs w:val="32"/>
          <w:lang w:val="en-US" w:eastAsia="zh-CN" w:bidi="ar-SA"/>
        </w:rPr>
      </w:pPr>
    </w:p>
    <w:p>
      <w:pPr>
        <w:pStyle w:val="5"/>
        <w:keepNext w:val="0"/>
        <w:keepLines w:val="0"/>
        <w:pageBreakBefore w:val="0"/>
        <w:kinsoku/>
        <w:overflowPunct/>
        <w:topLinePunct w:val="0"/>
        <w:autoSpaceDE/>
        <w:autoSpaceDN/>
        <w:bidi w:val="0"/>
        <w:spacing w:line="590" w:lineRule="exact"/>
        <w:ind w:firstLine="1059" w:firstLineChars="331"/>
        <w:jc w:val="left"/>
        <w:textAlignment w:val="auto"/>
        <w:rPr>
          <w:rFonts w:hint="default" w:ascii="Times New Roman" w:hAnsi="Times New Roman" w:eastAsia="方正仿宋_GBK" w:cs="Times New Roman"/>
          <w:color w:val="auto"/>
          <w:kern w:val="2"/>
          <w:sz w:val="32"/>
          <w:szCs w:val="32"/>
          <w:lang w:val="en-US" w:eastAsia="zh-CN" w:bidi="ar-SA"/>
        </w:rPr>
      </w:pPr>
    </w:p>
    <w:p>
      <w:pPr>
        <w:keepNext w:val="0"/>
        <w:keepLines w:val="0"/>
        <w:pageBreakBefore w:val="0"/>
        <w:widowControl w:val="0"/>
        <w:kinsoku/>
        <w:wordWrap w:val="0"/>
        <w:overflowPunct/>
        <w:topLinePunct w:val="0"/>
        <w:autoSpaceDE/>
        <w:autoSpaceDN/>
        <w:bidi w:val="0"/>
        <w:adjustRightInd/>
        <w:snapToGrid/>
        <w:spacing w:line="590" w:lineRule="exact"/>
        <w:jc w:val="righ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 xml:space="preserve">芜湖市医疗保障局  </w:t>
      </w:r>
    </w:p>
    <w:p>
      <w:pPr>
        <w:keepNext w:val="0"/>
        <w:keepLines w:val="0"/>
        <w:pageBreakBefore w:val="0"/>
        <w:widowControl w:val="0"/>
        <w:kinsoku/>
        <w:wordWrap w:val="0"/>
        <w:overflowPunct/>
        <w:topLinePunct w:val="0"/>
        <w:autoSpaceDE/>
        <w:autoSpaceDN/>
        <w:bidi w:val="0"/>
        <w:adjustRightInd w:val="0"/>
        <w:snapToGrid w:val="0"/>
        <w:spacing w:line="590" w:lineRule="exact"/>
        <w:jc w:val="right"/>
        <w:textAlignment w:val="auto"/>
        <w:outlineLvl w:val="9"/>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 xml:space="preserve">2026年3月5日  </w:t>
      </w:r>
    </w:p>
    <w:p>
      <w:pPr>
        <w:pStyle w:val="9"/>
        <w:wordWrap/>
        <w:rPr>
          <w:rFonts w:hint="eastAsia" w:ascii="Times New Roman" w:hAnsi="Times New Roman" w:eastAsia="方正仿宋_GBK" w:cs="Times New Roman"/>
          <w:color w:val="auto"/>
          <w:kern w:val="2"/>
          <w:sz w:val="32"/>
          <w:szCs w:val="32"/>
          <w:lang w:val="en-US" w:eastAsia="zh-CN" w:bidi="ar-SA"/>
        </w:rPr>
      </w:pPr>
    </w:p>
    <w:p>
      <w:pPr>
        <w:pStyle w:val="9"/>
        <w:wordWrap/>
        <w:rPr>
          <w:rFonts w:hint="eastAsia" w:ascii="Times New Roman" w:hAnsi="Times New Roman" w:eastAsia="方正仿宋_GBK" w:cs="Times New Roman"/>
          <w:color w:val="auto"/>
          <w:kern w:val="2"/>
          <w:sz w:val="32"/>
          <w:szCs w:val="32"/>
          <w:lang w:val="en-US" w:eastAsia="zh-CN" w:bidi="ar-SA"/>
        </w:rPr>
      </w:pPr>
    </w:p>
    <w:p>
      <w:pPr>
        <w:pStyle w:val="9"/>
        <w:wordWrap/>
        <w:rPr>
          <w:rFonts w:hint="eastAsia" w:ascii="Times New Roman" w:hAnsi="Times New Roman" w:eastAsia="方正仿宋_GBK" w:cs="Times New Roman"/>
          <w:color w:val="auto"/>
          <w:kern w:val="2"/>
          <w:sz w:val="32"/>
          <w:szCs w:val="32"/>
          <w:lang w:val="en-US" w:eastAsia="zh-CN" w:bidi="ar-SA"/>
        </w:rPr>
      </w:pPr>
    </w:p>
    <w:p>
      <w:pPr>
        <w:pStyle w:val="9"/>
        <w:wordWrap/>
        <w:rPr>
          <w:rFonts w:hint="eastAsia" w:ascii="Times New Roman" w:hAnsi="Times New Roman" w:eastAsia="方正仿宋_GBK" w:cs="Times New Roman"/>
          <w:color w:val="auto"/>
          <w:kern w:val="2"/>
          <w:sz w:val="32"/>
          <w:szCs w:val="32"/>
          <w:lang w:val="en-US" w:eastAsia="zh-CN" w:bidi="ar-SA"/>
        </w:rPr>
      </w:pPr>
    </w:p>
    <w:p>
      <w:pPr>
        <w:pStyle w:val="9"/>
        <w:wordWrap/>
        <w:rPr>
          <w:rFonts w:hint="eastAsia" w:ascii="Times New Roman" w:hAnsi="Times New Roman" w:eastAsia="方正仿宋_GBK" w:cs="Times New Roman"/>
          <w:color w:val="auto"/>
          <w:kern w:val="2"/>
          <w:sz w:val="32"/>
          <w:szCs w:val="32"/>
          <w:lang w:val="en-US" w:eastAsia="zh-CN" w:bidi="ar-SA"/>
        </w:rPr>
      </w:pPr>
    </w:p>
    <w:p>
      <w:pPr>
        <w:rPr>
          <w:rFonts w:hint="default" w:ascii="Times New Roman" w:hAnsi="Times New Roman" w:eastAsia="方正仿宋_GBK" w:cs="Times New Roman"/>
          <w:color w:val="auto"/>
          <w:kern w:val="2"/>
          <w:sz w:val="32"/>
          <w:szCs w:val="32"/>
          <w:lang w:val="en-US" w:eastAsia="zh-CN" w:bidi="ar-SA"/>
        </w:rPr>
      </w:pPr>
    </w:p>
    <w:p>
      <w:pPr>
        <w:numPr>
          <w:ilvl w:val="0"/>
          <w:numId w:val="0"/>
        </w:numPr>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color w:val="000000"/>
          <w:kern w:val="0"/>
          <w:sz w:val="32"/>
          <w:szCs w:val="32"/>
          <w:lang w:val="en-US" w:eastAsia="zh-CN" w:bidi="ar"/>
        </w:rPr>
        <w:t>附件</w:t>
      </w:r>
      <w:r>
        <w:rPr>
          <w:rFonts w:hint="eastAsia" w:ascii="方正黑体_GBK" w:hAnsi="方正黑体_GBK" w:eastAsia="方正黑体_GBK" w:cs="方正黑体_GBK"/>
          <w:sz w:val="32"/>
          <w:szCs w:val="32"/>
          <w:lang w:val="en-US" w:eastAsia="zh-CN"/>
        </w:rPr>
        <w:t>1：</w:t>
      </w:r>
    </w:p>
    <w:p>
      <w:pPr>
        <w:numPr>
          <w:ilvl w:val="0"/>
          <w:numId w:val="0"/>
        </w:numPr>
        <w:jc w:val="center"/>
        <w:rPr>
          <w:rFonts w:hint="default"/>
          <w:lang w:val="en-US" w:eastAsia="zh-CN"/>
        </w:rPr>
      </w:pPr>
      <w:r>
        <w:rPr>
          <w:rFonts w:hint="eastAsia" w:ascii="方正小标宋_GBK" w:hAnsi="方正小标宋_GBK" w:eastAsia="方正小标宋_GBK" w:cs="方正小标宋_GBK"/>
          <w:b w:val="0"/>
          <w:bCs/>
          <w:i w:val="0"/>
          <w:color w:val="000000"/>
          <w:kern w:val="0"/>
          <w:sz w:val="44"/>
          <w:szCs w:val="44"/>
          <w:u w:val="none"/>
          <w:lang w:val="en-US" w:eastAsia="zh-CN" w:bidi="ar"/>
        </w:rPr>
        <w:t>新备案市场调节价项目首年季度监测表</w:t>
      </w:r>
    </w:p>
    <w:p>
      <w:pPr>
        <w:numPr>
          <w:ilvl w:val="0"/>
          <w:numId w:val="0"/>
        </w:numPr>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填表单位（盖章）</w:t>
      </w:r>
    </w:p>
    <w:tbl>
      <w:tblPr>
        <w:tblStyle w:val="14"/>
        <w:tblW w:w="97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0"/>
        <w:gridCol w:w="1156"/>
        <w:gridCol w:w="1003"/>
        <w:gridCol w:w="756"/>
        <w:gridCol w:w="660"/>
        <w:gridCol w:w="632"/>
        <w:gridCol w:w="871"/>
        <w:gridCol w:w="1571"/>
        <w:gridCol w:w="1313"/>
        <w:gridCol w:w="13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5" w:hRule="atLeast"/>
          <w:jc w:val="center"/>
        </w:trPr>
        <w:tc>
          <w:tcPr>
            <w:tcW w:w="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序号</w:t>
            </w:r>
          </w:p>
        </w:tc>
        <w:tc>
          <w:tcPr>
            <w:tcW w:w="11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项目编码</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项目名称</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项目价格</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计价单位</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服务数量</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服务收入</w:t>
            </w:r>
            <w:r>
              <w:rPr>
                <w:rFonts w:hint="eastAsia" w:ascii="宋体" w:hAnsi="宋体" w:cs="宋体"/>
                <w:i w:val="0"/>
                <w:color w:val="000000"/>
                <w:kern w:val="0"/>
                <w:sz w:val="21"/>
                <w:szCs w:val="21"/>
                <w:u w:val="none"/>
                <w:lang w:val="en-US" w:eastAsia="zh-CN" w:bidi="ar"/>
              </w:rPr>
              <w:t>（万元）</w:t>
            </w:r>
            <w:r>
              <w:rPr>
                <w:rFonts w:hint="eastAsia" w:ascii="宋体" w:hAnsi="宋体" w:eastAsia="宋体" w:cs="宋体"/>
                <w:i w:val="0"/>
                <w:color w:val="000000"/>
                <w:kern w:val="0"/>
                <w:sz w:val="21"/>
                <w:szCs w:val="21"/>
                <w:u w:val="none"/>
                <w:lang w:val="en-US" w:eastAsia="zh-CN" w:bidi="ar"/>
              </w:rPr>
              <w:br w:type="textWrapping"/>
            </w:r>
          </w:p>
        </w:tc>
        <w:tc>
          <w:tcPr>
            <w:tcW w:w="15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收入类别</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（检查化验类填④/医疗服务类填⑤）</w:t>
            </w:r>
          </w:p>
        </w:tc>
        <w:tc>
          <w:tcPr>
            <w:tcW w:w="1313" w:type="dxa"/>
            <w:tcBorders>
              <w:top w:val="single" w:color="000000" w:sz="4" w:space="0"/>
              <w:left w:val="single" w:color="000000" w:sz="4"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实际收费起始时间</w:t>
            </w:r>
          </w:p>
        </w:tc>
        <w:tc>
          <w:tcPr>
            <w:tcW w:w="1313" w:type="dxa"/>
            <w:tcBorders>
              <w:top w:val="single" w:color="000000" w:sz="4" w:space="0"/>
              <w:left w:val="single" w:color="000000" w:sz="4"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项目类型（新增、特需、放开）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jc w:val="center"/>
        </w:trPr>
        <w:tc>
          <w:tcPr>
            <w:tcW w:w="5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5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jc w:val="center"/>
        </w:trPr>
        <w:tc>
          <w:tcPr>
            <w:tcW w:w="5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5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bl>
    <w:p>
      <w:pPr>
        <w:numPr>
          <w:ilvl w:val="0"/>
          <w:numId w:val="0"/>
        </w:numPr>
        <w:rPr>
          <w:rFonts w:hint="default" w:ascii="方正仿宋_GBK" w:hAnsi="方正仿宋_GBK" w:eastAsia="方正仿宋_GBK" w:cs="方正仿宋_GBK"/>
          <w:sz w:val="32"/>
          <w:szCs w:val="32"/>
          <w:lang w:val="en-US" w:eastAsia="zh-CN"/>
        </w:rPr>
      </w:pPr>
    </w:p>
    <w:p>
      <w:pPr>
        <w:numPr>
          <w:ilvl w:val="0"/>
          <w:numId w:val="0"/>
        </w:numPr>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填表说明：本表</w:t>
      </w:r>
      <w:r>
        <w:rPr>
          <w:rFonts w:hint="eastAsia" w:ascii="Times New Roman" w:hAnsi="Times New Roman" w:eastAsia="方正仿宋_GBK" w:cs="Times New Roman"/>
          <w:color w:val="auto"/>
          <w:kern w:val="2"/>
          <w:sz w:val="32"/>
          <w:szCs w:val="32"/>
          <w:lang w:val="en-US" w:eastAsia="zh-CN" w:bidi="ar-SA"/>
        </w:rPr>
        <w:t>为新备案市场调节价项目首年季度监测，每季度首月第二周内报送上季度数据</w:t>
      </w:r>
      <w:r>
        <w:rPr>
          <w:rFonts w:hint="default" w:ascii="Times New Roman" w:hAnsi="Times New Roman" w:eastAsia="方正仿宋_GBK" w:cs="Times New Roman"/>
          <w:color w:val="auto"/>
          <w:kern w:val="2"/>
          <w:sz w:val="32"/>
          <w:szCs w:val="32"/>
          <w:lang w:val="en-US" w:eastAsia="zh-CN" w:bidi="ar-SA"/>
        </w:rPr>
        <w:t>。</w:t>
      </w:r>
    </w:p>
    <w:p>
      <w:pPr>
        <w:numPr>
          <w:ilvl w:val="0"/>
          <w:numId w:val="0"/>
        </w:numP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sz w:val="32"/>
          <w:szCs w:val="32"/>
          <w:lang w:val="en-US" w:eastAsia="zh-CN"/>
        </w:rPr>
        <w:t>填报人：             联系号码：          填报时间：</w:t>
      </w:r>
    </w:p>
    <w:p>
      <w:pPr>
        <w:numPr>
          <w:ilvl w:val="0"/>
          <w:numId w:val="0"/>
        </w:numP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医院分管负责人：</w:t>
      </w:r>
    </w:p>
    <w:p>
      <w:pPr>
        <w:numPr>
          <w:ilvl w:val="0"/>
          <w:numId w:val="0"/>
        </w:numPr>
        <w:rPr>
          <w:rFonts w:hint="default" w:ascii="方正仿宋_GBK" w:hAnsi="方正仿宋_GBK" w:eastAsia="方正仿宋_GBK" w:cs="方正仿宋_GBK"/>
          <w:sz w:val="32"/>
          <w:szCs w:val="32"/>
          <w:lang w:val="en-US" w:eastAsia="zh-CN"/>
        </w:rPr>
      </w:pPr>
    </w:p>
    <w:p>
      <w:pPr>
        <w:pStyle w:val="5"/>
        <w:ind w:left="0" w:leftChars="0" w:firstLine="0" w:firstLineChars="0"/>
        <w:rPr>
          <w:rFonts w:hint="default" w:ascii="Times New Roman" w:hAnsi="Times New Roman" w:eastAsia="方正仿宋_GBK" w:cs="Times New Roman"/>
          <w:color w:val="000000"/>
          <w:sz w:val="32"/>
          <w:szCs w:val="32"/>
        </w:rPr>
      </w:pPr>
    </w:p>
    <w:p>
      <w:pPr>
        <w:numPr>
          <w:ilvl w:val="0"/>
          <w:numId w:val="0"/>
        </w:numPr>
        <w:jc w:val="left"/>
        <w:rPr>
          <w:rFonts w:hint="eastAsia" w:ascii="方正黑体_GBK" w:hAnsi="方正黑体_GBK" w:eastAsia="方正黑体_GBK" w:cs="方正黑体_GBK"/>
          <w:color w:val="000000"/>
          <w:kern w:val="0"/>
          <w:sz w:val="32"/>
          <w:szCs w:val="32"/>
          <w:lang w:val="en-US" w:eastAsia="zh-CN" w:bidi="ar"/>
        </w:rPr>
      </w:pPr>
    </w:p>
    <w:p>
      <w:pPr>
        <w:pStyle w:val="9"/>
        <w:rPr>
          <w:rFonts w:hint="eastAsia"/>
          <w:lang w:val="en-US" w:eastAsia="zh-CN"/>
        </w:rPr>
      </w:pPr>
    </w:p>
    <w:p>
      <w:pPr>
        <w:pStyle w:val="9"/>
        <w:rPr>
          <w:rFonts w:hint="eastAsia"/>
          <w:lang w:val="en-US" w:eastAsia="zh-CN"/>
        </w:rPr>
      </w:pPr>
    </w:p>
    <w:p>
      <w:pPr>
        <w:pStyle w:val="9"/>
        <w:rPr>
          <w:rFonts w:hint="eastAsia"/>
          <w:lang w:val="en-US" w:eastAsia="zh-CN"/>
        </w:rPr>
      </w:pPr>
    </w:p>
    <w:p>
      <w:pPr>
        <w:numPr>
          <w:ilvl w:val="0"/>
          <w:numId w:val="0"/>
        </w:numPr>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color w:val="000000"/>
          <w:kern w:val="0"/>
          <w:sz w:val="32"/>
          <w:szCs w:val="32"/>
          <w:lang w:val="en-US" w:eastAsia="zh-CN" w:bidi="ar"/>
        </w:rPr>
        <w:t>附件2</w:t>
      </w:r>
      <w:r>
        <w:rPr>
          <w:rFonts w:hint="eastAsia" w:ascii="方正黑体_GBK" w:hAnsi="方正黑体_GBK" w:eastAsia="方正黑体_GBK" w:cs="方正黑体_GBK"/>
          <w:sz w:val="32"/>
          <w:szCs w:val="32"/>
          <w:lang w:val="en-US" w:eastAsia="zh-CN"/>
        </w:rPr>
        <w:t>：</w:t>
      </w:r>
    </w:p>
    <w:tbl>
      <w:tblPr>
        <w:tblStyle w:val="14"/>
        <w:tblW w:w="91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2"/>
        <w:gridCol w:w="1180"/>
        <w:gridCol w:w="1335"/>
        <w:gridCol w:w="968"/>
        <w:gridCol w:w="754"/>
        <w:gridCol w:w="841"/>
        <w:gridCol w:w="12"/>
        <w:gridCol w:w="888"/>
        <w:gridCol w:w="27"/>
        <w:gridCol w:w="1239"/>
        <w:gridCol w:w="27"/>
        <w:gridCol w:w="13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3" w:hRule="atLeast"/>
          <w:jc w:val="center"/>
        </w:trPr>
        <w:tc>
          <w:tcPr>
            <w:tcW w:w="9180" w:type="dxa"/>
            <w:gridSpan w:val="12"/>
            <w:tcBorders>
              <w:top w:val="nil"/>
              <w:left w:val="nil"/>
              <w:bottom w:val="nil"/>
              <w:right w:val="nil"/>
            </w:tcBorders>
            <w:noWrap/>
            <w:vAlign w:val="center"/>
          </w:tcPr>
          <w:p>
            <w:pPr>
              <w:keepNext w:val="0"/>
              <w:keepLines w:val="0"/>
              <w:widowControl/>
              <w:suppressLineNumbers w:val="0"/>
              <w:jc w:val="center"/>
              <w:textAlignment w:val="center"/>
              <w:rPr>
                <w:rFonts w:ascii="黑体" w:hAnsi="宋体" w:eastAsia="黑体" w:cs="黑体"/>
                <w:b/>
                <w:i w:val="0"/>
                <w:color w:val="000000"/>
                <w:sz w:val="36"/>
                <w:szCs w:val="36"/>
                <w:u w:val="single"/>
              </w:rPr>
            </w:pPr>
            <w:r>
              <w:rPr>
                <w:rFonts w:hint="default" w:ascii="方正小标宋_GBK" w:hAnsi="方正小标宋_GBK" w:eastAsia="方正小标宋_GBK" w:cs="方正小标宋_GBK"/>
                <w:b w:val="0"/>
                <w:bCs/>
                <w:i w:val="0"/>
                <w:color w:val="000000"/>
                <w:kern w:val="0"/>
                <w:sz w:val="44"/>
                <w:szCs w:val="44"/>
                <w:u w:val="single"/>
                <w:lang w:val="en-US" w:eastAsia="zh-CN" w:bidi="ar"/>
              </w:rPr>
              <w:t xml:space="preserve"> </w:t>
            </w:r>
            <w:r>
              <w:rPr>
                <w:rFonts w:hint="eastAsia" w:ascii="方正小标宋_GBK" w:hAnsi="方正小标宋_GBK" w:eastAsia="方正小标宋_GBK" w:cs="方正小标宋_GBK"/>
                <w:b w:val="0"/>
                <w:bCs/>
                <w:i w:val="0"/>
                <w:color w:val="000000"/>
                <w:kern w:val="0"/>
                <w:sz w:val="44"/>
                <w:szCs w:val="44"/>
                <w:u w:val="single"/>
                <w:lang w:val="en-US" w:eastAsia="zh-CN" w:bidi="ar"/>
              </w:rPr>
              <w:t xml:space="preserve">     </w:t>
            </w:r>
            <w:r>
              <w:rPr>
                <w:rFonts w:hint="default" w:ascii="方正小标宋_GBK" w:hAnsi="方正小标宋_GBK" w:eastAsia="方正小标宋_GBK" w:cs="方正小标宋_GBK"/>
                <w:b w:val="0"/>
                <w:bCs/>
                <w:i w:val="0"/>
                <w:color w:val="000000"/>
                <w:kern w:val="0"/>
                <w:sz w:val="44"/>
                <w:szCs w:val="44"/>
                <w:u w:val="none"/>
                <w:lang w:val="en-US" w:eastAsia="zh-CN" w:bidi="ar"/>
              </w:rPr>
              <w:t>年度医疗服务价格项目监测表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6537" w:type="dxa"/>
            <w:gridSpan w:val="9"/>
            <w:tcBorders>
              <w:top w:val="nil"/>
              <w:left w:val="nil"/>
              <w:bottom w:val="nil"/>
              <w:right w:val="nil"/>
            </w:tcBorders>
            <w:noWrap/>
            <w:vAlign w:val="center"/>
          </w:tcPr>
          <w:p>
            <w:pPr>
              <w:keepNext w:val="0"/>
              <w:keepLines w:val="0"/>
              <w:widowControl/>
              <w:suppressLineNumbers w:val="0"/>
              <w:jc w:val="left"/>
              <w:textAlignment w:val="center"/>
              <w:rPr>
                <w:rFonts w:hint="default" w:ascii="黑体" w:hAnsi="宋体" w:eastAsia="黑体" w:cs="黑体"/>
                <w:b/>
                <w:i w:val="0"/>
                <w:color w:val="000000"/>
                <w:sz w:val="28"/>
                <w:szCs w:val="28"/>
                <w:u w:val="none"/>
              </w:rPr>
            </w:pPr>
            <w:r>
              <w:rPr>
                <w:rFonts w:hint="default" w:ascii="Times New Roman" w:hAnsi="Times New Roman" w:eastAsia="方正仿宋_GBK" w:cs="Times New Roman"/>
                <w:color w:val="auto"/>
                <w:kern w:val="2"/>
                <w:sz w:val="32"/>
                <w:szCs w:val="32"/>
                <w:lang w:val="en-US" w:eastAsia="zh-CN" w:bidi="ar-SA"/>
              </w:rPr>
              <w:t>填报单位名称（加盖公章）：</w:t>
            </w:r>
          </w:p>
        </w:tc>
        <w:tc>
          <w:tcPr>
            <w:tcW w:w="1266" w:type="dxa"/>
            <w:gridSpan w:val="2"/>
            <w:tcBorders>
              <w:top w:val="nil"/>
              <w:left w:val="nil"/>
              <w:bottom w:val="nil"/>
              <w:right w:val="nil"/>
            </w:tcBorders>
            <w:noWrap/>
            <w:vAlign w:val="center"/>
          </w:tcPr>
          <w:p>
            <w:pPr>
              <w:rPr>
                <w:rFonts w:hint="default" w:ascii="黑体" w:hAnsi="宋体" w:eastAsia="黑体" w:cs="黑体"/>
                <w:i w:val="0"/>
                <w:color w:val="000000"/>
                <w:sz w:val="28"/>
                <w:szCs w:val="28"/>
                <w:u w:val="none"/>
              </w:rPr>
            </w:pPr>
          </w:p>
        </w:tc>
        <w:tc>
          <w:tcPr>
            <w:tcW w:w="1377" w:type="dxa"/>
            <w:tcBorders>
              <w:top w:val="nil"/>
              <w:left w:val="nil"/>
              <w:bottom w:val="nil"/>
              <w:right w:val="nil"/>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9180" w:type="dxa"/>
            <w:gridSpan w:val="12"/>
            <w:tcBorders>
              <w:top w:val="single" w:color="000000" w:sz="8" w:space="0"/>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黑体" w:hAnsi="宋体" w:eastAsia="黑体" w:cs="黑体"/>
                <w:b/>
                <w:i w:val="0"/>
                <w:color w:val="000000"/>
                <w:sz w:val="28"/>
                <w:szCs w:val="28"/>
                <w:u w:val="none"/>
              </w:rPr>
            </w:pPr>
            <w:r>
              <w:rPr>
                <w:rFonts w:hint="default" w:ascii="黑体" w:hAnsi="宋体" w:eastAsia="黑体" w:cs="黑体"/>
                <w:b/>
                <w:i w:val="0"/>
                <w:color w:val="000000"/>
                <w:kern w:val="0"/>
                <w:sz w:val="28"/>
                <w:szCs w:val="28"/>
                <w:u w:val="none"/>
                <w:lang w:val="en-US" w:eastAsia="zh-CN" w:bidi="ar"/>
              </w:rPr>
              <w:t>一、收入构成情况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3" w:hRule="atLeast"/>
          <w:jc w:val="center"/>
        </w:trPr>
        <w:tc>
          <w:tcPr>
            <w:tcW w:w="1712" w:type="dxa"/>
            <w:gridSpan w:val="2"/>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医疗收入或医药总费用</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药品收入</w:t>
            </w:r>
          </w:p>
        </w:tc>
        <w:tc>
          <w:tcPr>
            <w:tcW w:w="1722"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卫生材料收入</w:t>
            </w:r>
          </w:p>
        </w:tc>
        <w:tc>
          <w:tcPr>
            <w:tcW w:w="1768"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检查化验收入</w:t>
            </w:r>
          </w:p>
        </w:tc>
        <w:tc>
          <w:tcPr>
            <w:tcW w:w="2643"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医疗服务性收入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712" w:type="dxa"/>
            <w:gridSpan w:val="2"/>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722"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768"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643"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9180" w:type="dxa"/>
            <w:gridSpan w:val="12"/>
            <w:tcBorders>
              <w:top w:val="single" w:color="000000" w:sz="8" w:space="0"/>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黑体" w:hAnsi="宋体" w:eastAsia="黑体" w:cs="黑体"/>
                <w:b/>
                <w:i w:val="0"/>
                <w:color w:val="000000"/>
                <w:sz w:val="28"/>
                <w:szCs w:val="28"/>
                <w:u w:val="none"/>
              </w:rPr>
            </w:pPr>
            <w:r>
              <w:rPr>
                <w:rFonts w:hint="default" w:ascii="黑体" w:hAnsi="宋体" w:eastAsia="黑体" w:cs="黑体"/>
                <w:b/>
                <w:i w:val="0"/>
                <w:color w:val="000000"/>
                <w:kern w:val="0"/>
                <w:sz w:val="28"/>
                <w:szCs w:val="28"/>
                <w:u w:val="none"/>
                <w:lang w:val="en-US" w:eastAsia="zh-CN" w:bidi="ar"/>
              </w:rPr>
              <w:t>二、价格项目开展情况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1712" w:type="dxa"/>
            <w:gridSpan w:val="2"/>
            <w:tcBorders>
              <w:top w:val="single" w:color="000000" w:sz="4" w:space="0"/>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实际开展项目总数</w:t>
            </w:r>
          </w:p>
        </w:tc>
        <w:tc>
          <w:tcPr>
            <w:tcW w:w="230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政府指导价项目数</w:t>
            </w:r>
          </w:p>
        </w:tc>
        <w:tc>
          <w:tcPr>
            <w:tcW w:w="2522"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市场调节价项目数</w:t>
            </w:r>
          </w:p>
        </w:tc>
        <w:tc>
          <w:tcPr>
            <w:tcW w:w="2643"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市场调节价项目占比（%）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712" w:type="dxa"/>
            <w:gridSpan w:val="2"/>
            <w:tcBorders>
              <w:top w:val="single" w:color="000000" w:sz="4" w:space="0"/>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30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522"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643"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9180" w:type="dxa"/>
            <w:gridSpan w:val="12"/>
            <w:tcBorders>
              <w:top w:val="single" w:color="000000" w:sz="8" w:space="0"/>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黑体" w:hAnsi="宋体" w:eastAsia="黑体" w:cs="黑体"/>
                <w:b/>
                <w:i w:val="0"/>
                <w:color w:val="000000"/>
                <w:sz w:val="28"/>
                <w:szCs w:val="28"/>
                <w:u w:val="none"/>
              </w:rPr>
            </w:pPr>
            <w:r>
              <w:rPr>
                <w:rFonts w:hint="default" w:ascii="黑体" w:hAnsi="宋体" w:eastAsia="黑体" w:cs="黑体"/>
                <w:b/>
                <w:i w:val="0"/>
                <w:color w:val="000000"/>
                <w:kern w:val="0"/>
                <w:sz w:val="28"/>
                <w:szCs w:val="28"/>
                <w:u w:val="none"/>
                <w:lang w:val="en-US" w:eastAsia="zh-CN" w:bidi="ar"/>
              </w:rPr>
              <w:t>三、市场调节价项目开展情况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712" w:type="dxa"/>
            <w:gridSpan w:val="2"/>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试行期内新增项目总数</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特需项目总数</w:t>
            </w:r>
          </w:p>
        </w:tc>
        <w:tc>
          <w:tcPr>
            <w:tcW w:w="1722"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价格放开项目总数</w:t>
            </w:r>
          </w:p>
        </w:tc>
        <w:tc>
          <w:tcPr>
            <w:tcW w:w="1768"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市场调节价服务收入</w:t>
            </w:r>
          </w:p>
        </w:tc>
        <w:tc>
          <w:tcPr>
            <w:tcW w:w="2643" w:type="dxa"/>
            <w:gridSpan w:val="3"/>
            <w:tcBorders>
              <w:top w:val="single" w:color="000000" w:sz="4" w:space="0"/>
              <w:left w:val="single" w:color="000000" w:sz="4" w:space="0"/>
              <w:bottom w:val="single" w:color="000000" w:sz="4"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市场调节价服务收入占比（%）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712" w:type="dxa"/>
            <w:gridSpan w:val="2"/>
            <w:tcBorders>
              <w:top w:val="single" w:color="000000" w:sz="4" w:space="0"/>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722"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76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643" w:type="dxa"/>
            <w:gridSpan w:val="3"/>
            <w:tcBorders>
              <w:top w:val="single" w:color="000000" w:sz="4" w:space="0"/>
              <w:left w:val="single" w:color="000000" w:sz="4"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9180" w:type="dxa"/>
            <w:gridSpan w:val="12"/>
            <w:tcBorders>
              <w:top w:val="single" w:color="000000" w:sz="8" w:space="0"/>
              <w:left w:val="single" w:color="000000" w:sz="8" w:space="0"/>
              <w:bottom w:val="nil"/>
              <w:right w:val="single" w:color="000000" w:sz="4" w:space="0"/>
            </w:tcBorders>
            <w:noWrap/>
            <w:vAlign w:val="center"/>
          </w:tcPr>
          <w:p>
            <w:pPr>
              <w:keepNext w:val="0"/>
              <w:keepLines w:val="0"/>
              <w:widowControl/>
              <w:suppressLineNumbers w:val="0"/>
              <w:jc w:val="center"/>
              <w:textAlignment w:val="center"/>
              <w:rPr>
                <w:rFonts w:hint="default" w:ascii="黑体" w:hAnsi="宋体" w:eastAsia="黑体" w:cs="黑体"/>
                <w:b/>
                <w:i w:val="0"/>
                <w:color w:val="000000"/>
                <w:sz w:val="28"/>
                <w:szCs w:val="28"/>
                <w:u w:val="none"/>
              </w:rPr>
            </w:pPr>
            <w:r>
              <w:rPr>
                <w:rFonts w:hint="default" w:ascii="黑体" w:hAnsi="宋体" w:eastAsia="黑体" w:cs="黑体"/>
                <w:b/>
                <w:i w:val="0"/>
                <w:color w:val="000000"/>
                <w:kern w:val="0"/>
                <w:sz w:val="28"/>
                <w:szCs w:val="28"/>
                <w:u w:val="none"/>
                <w:lang w:val="en-US" w:eastAsia="zh-CN" w:bidi="ar"/>
              </w:rPr>
              <w:t xml:space="preserve">   四、试行期内新增项目开展明细情况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1" w:hRule="atLeast"/>
          <w:jc w:val="center"/>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序号</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项目编码</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项目名称</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项目价格</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计价单位</w:t>
            </w:r>
          </w:p>
        </w:tc>
        <w:tc>
          <w:tcPr>
            <w:tcW w:w="85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服务数量</w:t>
            </w:r>
          </w:p>
        </w:tc>
        <w:tc>
          <w:tcPr>
            <w:tcW w:w="9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服务收入</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（15）</w:t>
            </w:r>
          </w:p>
        </w:tc>
        <w:tc>
          <w:tcPr>
            <w:tcW w:w="126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收入类别</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（检查化验类填④/医疗服务类填⑤）</w:t>
            </w:r>
          </w:p>
        </w:tc>
        <w:tc>
          <w:tcPr>
            <w:tcW w:w="1377" w:type="dxa"/>
            <w:tcBorders>
              <w:top w:val="single" w:color="000000" w:sz="4" w:space="0"/>
              <w:left w:val="single" w:color="000000" w:sz="4"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实际收费起始时间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5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5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6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9180" w:type="dxa"/>
            <w:gridSpan w:val="12"/>
            <w:tcBorders>
              <w:top w:val="nil"/>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黑体" w:hAnsi="宋体" w:eastAsia="黑体" w:cs="黑体"/>
                <w:b/>
                <w:i w:val="0"/>
                <w:color w:val="000000"/>
                <w:sz w:val="28"/>
                <w:szCs w:val="28"/>
                <w:u w:val="none"/>
              </w:rPr>
            </w:pPr>
            <w:r>
              <w:rPr>
                <w:rFonts w:hint="default" w:ascii="黑体" w:hAnsi="宋体" w:eastAsia="黑体" w:cs="黑体"/>
                <w:b/>
                <w:i w:val="0"/>
                <w:color w:val="000000"/>
                <w:kern w:val="0"/>
                <w:sz w:val="28"/>
                <w:szCs w:val="28"/>
                <w:u w:val="none"/>
                <w:lang w:val="en-US" w:eastAsia="zh-CN" w:bidi="ar"/>
              </w:rPr>
              <w:t xml:space="preserve">  五、特需医疗服务项目开展明细情况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532" w:type="dxa"/>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序号</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项目编码</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项目名称</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项目价格</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计价单位</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服务数量</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服务收入（16）</w:t>
            </w:r>
          </w:p>
        </w:tc>
        <w:tc>
          <w:tcPr>
            <w:tcW w:w="126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收入类别</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（检查化验类填④/医疗服务类填⑤）</w:t>
            </w:r>
          </w:p>
        </w:tc>
        <w:tc>
          <w:tcPr>
            <w:tcW w:w="1404" w:type="dxa"/>
            <w:gridSpan w:val="2"/>
            <w:tcBorders>
              <w:top w:val="single" w:color="000000" w:sz="4" w:space="0"/>
              <w:left w:val="single" w:color="000000" w:sz="4"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实际收费起始时间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532" w:type="dxa"/>
            <w:tcBorders>
              <w:top w:val="nil"/>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6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0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9180" w:type="dxa"/>
            <w:gridSpan w:val="12"/>
            <w:tcBorders>
              <w:top w:val="single" w:color="000000" w:sz="8" w:space="0"/>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黑体" w:hAnsi="宋体" w:eastAsia="黑体" w:cs="黑体"/>
                <w:b/>
                <w:i w:val="0"/>
                <w:color w:val="000000"/>
                <w:sz w:val="28"/>
                <w:szCs w:val="28"/>
                <w:u w:val="none"/>
              </w:rPr>
            </w:pPr>
            <w:r>
              <w:rPr>
                <w:rFonts w:hint="default" w:ascii="黑体" w:hAnsi="宋体" w:eastAsia="黑体" w:cs="黑体"/>
                <w:b/>
                <w:i w:val="0"/>
                <w:color w:val="000000"/>
                <w:kern w:val="0"/>
                <w:sz w:val="28"/>
                <w:szCs w:val="28"/>
                <w:u w:val="none"/>
                <w:lang w:val="en-US" w:eastAsia="zh-CN" w:bidi="ar"/>
              </w:rPr>
              <w:t>六、价格放开项目开展明细情况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1" w:hRule="atLeast"/>
          <w:jc w:val="center"/>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序号</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项目编码</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项目名称</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项目价格</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计价单位</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服务数量</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服务收入（17）</w:t>
            </w:r>
          </w:p>
        </w:tc>
        <w:tc>
          <w:tcPr>
            <w:tcW w:w="126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收入类别</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（检查化验类填④/医疗服务类填⑤）</w:t>
            </w:r>
          </w:p>
        </w:tc>
        <w:tc>
          <w:tcPr>
            <w:tcW w:w="140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实际收费起始时间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6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0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jc w:val="center"/>
        </w:trPr>
        <w:tc>
          <w:tcPr>
            <w:tcW w:w="7776" w:type="dxa"/>
            <w:gridSpan w:val="10"/>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ascii="黑体" w:hAnsi="宋体" w:eastAsia="黑体" w:cs="黑体"/>
                <w:b/>
                <w:i w:val="0"/>
                <w:color w:val="000000"/>
                <w:sz w:val="28"/>
                <w:szCs w:val="28"/>
                <w:u w:val="none"/>
              </w:rPr>
            </w:pPr>
            <w:r>
              <w:rPr>
                <w:rFonts w:hint="eastAsia" w:ascii="黑体" w:hAnsi="宋体" w:eastAsia="黑体" w:cs="黑体"/>
                <w:b/>
                <w:i w:val="0"/>
                <w:color w:val="000000"/>
                <w:kern w:val="0"/>
                <w:sz w:val="28"/>
                <w:szCs w:val="28"/>
                <w:u w:val="none"/>
                <w:lang w:val="en-US" w:eastAsia="zh-CN" w:bidi="ar"/>
              </w:rPr>
              <w:t xml:space="preserve">              </w:t>
            </w:r>
            <w:r>
              <w:rPr>
                <w:rFonts w:hint="default" w:ascii="黑体" w:hAnsi="宋体" w:eastAsia="黑体" w:cs="黑体"/>
                <w:b/>
                <w:i w:val="0"/>
                <w:color w:val="000000"/>
                <w:kern w:val="0"/>
                <w:sz w:val="28"/>
                <w:szCs w:val="28"/>
                <w:u w:val="none"/>
                <w:lang w:val="en-US" w:eastAsia="zh-CN" w:bidi="ar"/>
              </w:rPr>
              <w:t>七、政府指导价项目开展明细情况</w:t>
            </w:r>
          </w:p>
        </w:tc>
        <w:tc>
          <w:tcPr>
            <w:tcW w:w="140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黑体" w:hAnsi="宋体" w:eastAsia="黑体" w:cs="黑体"/>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1" w:hRule="atLeast"/>
          <w:jc w:val="center"/>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序号</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项目编码</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项目名称</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项目价格</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计价单位</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服务数量</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服务收入</w:t>
            </w:r>
          </w:p>
        </w:tc>
        <w:tc>
          <w:tcPr>
            <w:tcW w:w="126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收入类别</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（检查化验类填④/医疗服务类填⑤）</w:t>
            </w:r>
          </w:p>
        </w:tc>
        <w:tc>
          <w:tcPr>
            <w:tcW w:w="140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备注（期间有调价需明确）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96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6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0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黑体" w:hAnsi="宋体" w:eastAsia="黑体" w:cs="黑体"/>
                <w:i w:val="0"/>
                <w:color w:val="000000"/>
                <w:sz w:val="28"/>
                <w:szCs w:val="28"/>
                <w:u w:val="none"/>
              </w:rPr>
            </w:pPr>
          </w:p>
        </w:tc>
      </w:tr>
    </w:tbl>
    <w:p>
      <w:pPr>
        <w:numPr>
          <w:ilvl w:val="0"/>
          <w:numId w:val="0"/>
        </w:numPr>
        <w:rPr>
          <w:rFonts w:hint="eastAsia"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填表说明：1.本表</w:t>
      </w:r>
      <w:r>
        <w:rPr>
          <w:rFonts w:hint="eastAsia" w:ascii="方正仿宋_GBK" w:hAnsi="方正仿宋_GBK" w:eastAsia="方正仿宋_GBK" w:cs="方正仿宋_GBK"/>
          <w:sz w:val="32"/>
          <w:szCs w:val="32"/>
          <w:lang w:val="en-US" w:eastAsia="zh-CN"/>
        </w:rPr>
        <w:t>每年3月</w:t>
      </w:r>
      <w:r>
        <w:rPr>
          <w:rFonts w:hint="default" w:ascii="方正仿宋_GBK" w:hAnsi="方正仿宋_GBK" w:eastAsia="方正仿宋_GBK" w:cs="方正仿宋_GBK"/>
          <w:sz w:val="32"/>
          <w:szCs w:val="32"/>
          <w:lang w:val="en-US" w:eastAsia="zh-CN"/>
        </w:rPr>
        <w:t>底之前报送</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2.本表中服务收入数据以万元为单位，其中“一、收入构成情况”均按医院财务报表中的统计数据填报。3.本表中医疗服务性收入</w:t>
      </w:r>
      <w:r>
        <w:rPr>
          <w:rFonts w:hint="eastAsia" w:ascii="宋体" w:hAnsi="宋体" w:eastAsia="宋体" w:cs="宋体"/>
          <w:b/>
          <w:i w:val="0"/>
          <w:color w:val="000000"/>
          <w:kern w:val="0"/>
          <w:sz w:val="22"/>
          <w:szCs w:val="22"/>
          <w:u w:val="none"/>
          <w:lang w:val="en-US" w:eastAsia="zh-CN" w:bidi="ar"/>
        </w:rPr>
        <w:t>⑤</w:t>
      </w:r>
      <w:r>
        <w:rPr>
          <w:rFonts w:hint="default" w:ascii="方正仿宋_GBK" w:hAnsi="方正仿宋_GBK" w:eastAsia="方正仿宋_GBK" w:cs="方正仿宋_GBK"/>
          <w:sz w:val="32"/>
          <w:szCs w:val="32"/>
          <w:lang w:val="en-US" w:eastAsia="zh-CN"/>
        </w:rPr>
        <w:t>含综合医疗服务、手术、治疗等费用，但检查化验费用除外。</w:t>
      </w:r>
    </w:p>
    <w:p>
      <w:pPr>
        <w:numPr>
          <w:ilvl w:val="0"/>
          <w:numId w:val="0"/>
        </w:numP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sz w:val="32"/>
          <w:szCs w:val="32"/>
          <w:lang w:val="en-US" w:eastAsia="zh-CN"/>
        </w:rPr>
        <w:t>填报人：             联系号码：          填报时间：</w:t>
      </w:r>
    </w:p>
    <w:p>
      <w:pPr>
        <w:numPr>
          <w:ilvl w:val="0"/>
          <w:numId w:val="0"/>
        </w:numP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color w:val="auto"/>
          <w:sz w:val="32"/>
          <w:szCs w:val="32"/>
          <w:lang w:val="en-US" w:eastAsia="zh-CN"/>
        </w:rPr>
        <w:t>医院主要负责人</w:t>
      </w:r>
      <w:bookmarkStart w:id="0" w:name="_GoBack"/>
      <w:bookmarkEnd w:id="0"/>
      <w:r>
        <w:rPr>
          <w:rFonts w:hint="eastAsia" w:ascii="方正仿宋_GBK" w:hAnsi="方正仿宋_GBK" w:eastAsia="方正仿宋_GBK" w:cs="方正仿宋_GBK"/>
          <w:color w:val="auto"/>
          <w:sz w:val="32"/>
          <w:szCs w:val="32"/>
          <w:lang w:val="en-US" w:eastAsia="zh-CN"/>
        </w:rPr>
        <w:t>：</w:t>
      </w:r>
    </w:p>
    <w:p>
      <w:pPr>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br w:type="page"/>
      </w:r>
    </w:p>
    <w:p>
      <w:pPr>
        <w:numPr>
          <w:ilvl w:val="0"/>
          <w:numId w:val="0"/>
        </w:numPr>
        <w:jc w:val="left"/>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附件3：</w:t>
      </w:r>
    </w:p>
    <w:p>
      <w:pPr>
        <w:keepNext w:val="0"/>
        <w:keepLines w:val="0"/>
        <w:widowControl/>
        <w:suppressLineNumbers w:val="0"/>
        <w:jc w:val="center"/>
        <w:textAlignment w:val="center"/>
        <w:rPr>
          <w:rFonts w:hint="eastAsia" w:ascii="方正小标宋_GBK" w:hAnsi="方正小标宋_GBK" w:eastAsia="方正小标宋_GBK" w:cs="方正小标宋_GBK"/>
          <w:b w:val="0"/>
          <w:bCs/>
          <w:i w:val="0"/>
          <w:color w:val="000000"/>
          <w:kern w:val="0"/>
          <w:sz w:val="44"/>
          <w:szCs w:val="44"/>
          <w:u w:val="none"/>
          <w:lang w:val="en-US" w:eastAsia="zh-CN" w:bidi="ar"/>
        </w:rPr>
      </w:pPr>
      <w:r>
        <w:rPr>
          <w:rFonts w:hint="eastAsia" w:ascii="方正小标宋_GBK" w:hAnsi="方正小标宋_GBK" w:eastAsia="方正小标宋_GBK" w:cs="方正小标宋_GBK"/>
          <w:b w:val="0"/>
          <w:bCs/>
          <w:i w:val="0"/>
          <w:color w:val="000000"/>
          <w:kern w:val="0"/>
          <w:sz w:val="44"/>
          <w:szCs w:val="44"/>
          <w:u w:val="none"/>
          <w:lang w:val="en-US" w:eastAsia="zh-CN" w:bidi="ar"/>
        </w:rPr>
        <w:t>市场调节价项目价格备案现场对接表</w:t>
      </w:r>
    </w:p>
    <w:p>
      <w:pPr>
        <w:numPr>
          <w:ilvl w:val="0"/>
          <w:numId w:val="0"/>
        </w:numPr>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医院：                    时间：</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2685"/>
        <w:gridCol w:w="1333"/>
        <w:gridCol w:w="1336"/>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2" w:type="dxa"/>
            <w:noWrap w:val="0"/>
            <w:vAlign w:val="top"/>
          </w:tcPr>
          <w:p>
            <w:pPr>
              <w:numPr>
                <w:ilvl w:val="0"/>
                <w:numId w:val="0"/>
              </w:numPr>
              <w:jc w:val="center"/>
              <w:rPr>
                <w:rFonts w:hint="default"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市场调节价项目名称</w:t>
            </w:r>
          </w:p>
        </w:tc>
        <w:tc>
          <w:tcPr>
            <w:tcW w:w="4200" w:type="dxa"/>
            <w:noWrap w:val="0"/>
            <w:vAlign w:val="top"/>
          </w:tcPr>
          <w:p>
            <w:pPr>
              <w:numPr>
                <w:ilvl w:val="0"/>
                <w:numId w:val="0"/>
              </w:numPr>
              <w:jc w:val="center"/>
              <w:rPr>
                <w:rFonts w:hint="default"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院内定价卷宗资料</w:t>
            </w:r>
          </w:p>
        </w:tc>
        <w:tc>
          <w:tcPr>
            <w:tcW w:w="2055" w:type="dxa"/>
            <w:noWrap w:val="0"/>
            <w:vAlign w:val="top"/>
          </w:tcPr>
          <w:p>
            <w:pPr>
              <w:numPr>
                <w:ilvl w:val="0"/>
                <w:numId w:val="0"/>
              </w:numPr>
              <w:jc w:val="center"/>
              <w:rPr>
                <w:rFonts w:hint="default"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应用场景</w:t>
            </w:r>
          </w:p>
        </w:tc>
        <w:tc>
          <w:tcPr>
            <w:tcW w:w="1912" w:type="dxa"/>
            <w:noWrap w:val="0"/>
            <w:vAlign w:val="top"/>
          </w:tcPr>
          <w:p>
            <w:pPr>
              <w:numPr>
                <w:ilvl w:val="0"/>
                <w:numId w:val="0"/>
              </w:numPr>
              <w:jc w:val="center"/>
              <w:rPr>
                <w:rFonts w:hint="default"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价格公示</w:t>
            </w:r>
          </w:p>
        </w:tc>
        <w:tc>
          <w:tcPr>
            <w:tcW w:w="2835" w:type="dxa"/>
            <w:noWrap w:val="0"/>
            <w:vAlign w:val="top"/>
          </w:tcPr>
          <w:p>
            <w:pPr>
              <w:numPr>
                <w:ilvl w:val="0"/>
                <w:numId w:val="0"/>
              </w:numPr>
              <w:jc w:val="center"/>
              <w:rPr>
                <w:rFonts w:hint="default"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现场对接记录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9" w:hRule="atLeast"/>
        </w:trPr>
        <w:tc>
          <w:tcPr>
            <w:tcW w:w="3172" w:type="dxa"/>
            <w:noWrap w:val="0"/>
            <w:vAlign w:val="top"/>
          </w:tcPr>
          <w:p>
            <w:pPr>
              <w:numPr>
                <w:ilvl w:val="0"/>
                <w:numId w:val="0"/>
              </w:numPr>
              <w:rPr>
                <w:rFonts w:hint="default" w:ascii="方正仿宋_GBK" w:hAnsi="方正仿宋_GBK" w:eastAsia="方正仿宋_GBK" w:cs="方正仿宋_GBK"/>
                <w:sz w:val="32"/>
                <w:szCs w:val="32"/>
                <w:vertAlign w:val="baseline"/>
                <w:lang w:val="en-US" w:eastAsia="zh-CN"/>
              </w:rPr>
            </w:pPr>
          </w:p>
        </w:tc>
        <w:tc>
          <w:tcPr>
            <w:tcW w:w="4200" w:type="dxa"/>
            <w:noWrap w:val="0"/>
            <w:vAlign w:val="top"/>
          </w:tcPr>
          <w:p>
            <w:pPr>
              <w:numPr>
                <w:ilvl w:val="0"/>
                <w:numId w:val="0"/>
              </w:numPr>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21"/>
                <w:szCs w:val="21"/>
                <w:lang w:val="en-US" w:eastAsia="zh-CN"/>
              </w:rPr>
              <w:sym w:font="Wingdings 2" w:char="00A3"/>
            </w:r>
            <w:r>
              <w:rPr>
                <w:rFonts w:hint="eastAsia" w:ascii="方正仿宋_GBK" w:hAnsi="方正仿宋_GBK" w:eastAsia="方正仿宋_GBK" w:cs="方正仿宋_GBK"/>
                <w:sz w:val="21"/>
                <w:szCs w:val="21"/>
                <w:lang w:val="en-US" w:eastAsia="zh-CN"/>
              </w:rPr>
              <w:t>公立医疗机构市场调节价项目价格备案报告；</w:t>
            </w:r>
            <w:r>
              <w:rPr>
                <w:rFonts w:hint="eastAsia" w:ascii="方正仿宋_GBK" w:hAnsi="方正仿宋_GBK" w:eastAsia="方正仿宋_GBK" w:cs="方正仿宋_GBK"/>
                <w:sz w:val="21"/>
                <w:szCs w:val="21"/>
                <w:lang w:val="en-US" w:eastAsia="zh-CN"/>
              </w:rPr>
              <w:sym w:font="Wingdings 2" w:char="00A3"/>
            </w:r>
            <w:r>
              <w:rPr>
                <w:rFonts w:hint="eastAsia" w:ascii="方正仿宋_GBK" w:hAnsi="方正仿宋_GBK" w:eastAsia="方正仿宋_GBK" w:cs="方正仿宋_GBK"/>
                <w:sz w:val="21"/>
                <w:szCs w:val="21"/>
                <w:lang w:val="en-US" w:eastAsia="zh-CN"/>
              </w:rPr>
              <w:t>医疗服务项目成本测算表；</w:t>
            </w:r>
            <w:r>
              <w:rPr>
                <w:rFonts w:hint="eastAsia" w:ascii="方正仿宋_GBK" w:hAnsi="方正仿宋_GBK" w:eastAsia="方正仿宋_GBK" w:cs="方正仿宋_GBK"/>
                <w:sz w:val="21"/>
                <w:szCs w:val="21"/>
                <w:lang w:val="en-US" w:eastAsia="zh-CN"/>
              </w:rPr>
              <w:sym w:font="Wingdings 2" w:char="00A3"/>
            </w:r>
            <w:r>
              <w:rPr>
                <w:rFonts w:hint="eastAsia" w:ascii="方正仿宋_GBK" w:hAnsi="方正仿宋_GBK" w:eastAsia="方正仿宋_GBK" w:cs="方正仿宋_GBK"/>
                <w:color w:val="auto"/>
                <w:kern w:val="2"/>
                <w:sz w:val="21"/>
                <w:szCs w:val="21"/>
                <w:lang w:val="en-US" w:eastAsia="zh-CN" w:bidi="ar-SA"/>
              </w:rPr>
              <w:t>院内集体讨论会议记录；</w:t>
            </w:r>
            <w:r>
              <w:rPr>
                <w:rFonts w:hint="eastAsia" w:ascii="方正仿宋_GBK" w:hAnsi="方正仿宋_GBK" w:eastAsia="方正仿宋_GBK" w:cs="方正仿宋_GBK"/>
                <w:color w:val="auto"/>
                <w:kern w:val="2"/>
                <w:sz w:val="21"/>
                <w:szCs w:val="21"/>
                <w:lang w:val="en-US" w:eastAsia="zh-CN" w:bidi="ar-SA"/>
              </w:rPr>
              <w:sym w:font="Wingdings 2" w:char="00A3"/>
            </w:r>
            <w:r>
              <w:rPr>
                <w:rFonts w:hint="eastAsia" w:ascii="方正仿宋_GBK" w:hAnsi="方正仿宋_GBK" w:eastAsia="方正仿宋_GBK" w:cs="方正仿宋_GBK"/>
                <w:color w:val="auto"/>
                <w:sz w:val="21"/>
                <w:szCs w:val="21"/>
                <w:lang w:val="en-US" w:eastAsia="zh-CN"/>
              </w:rPr>
              <w:t>备案项目开展能力说明；</w:t>
            </w:r>
            <w:r>
              <w:rPr>
                <w:rFonts w:hint="eastAsia" w:ascii="方正仿宋_GBK" w:hAnsi="方正仿宋_GBK" w:eastAsia="方正仿宋_GBK" w:cs="方正仿宋_GBK"/>
                <w:color w:val="auto"/>
                <w:sz w:val="21"/>
                <w:szCs w:val="21"/>
                <w:lang w:val="en-US" w:eastAsia="zh-CN"/>
              </w:rPr>
              <w:sym w:font="Wingdings 2" w:char="00A3"/>
            </w:r>
            <w:r>
              <w:rPr>
                <w:rFonts w:hint="eastAsia" w:ascii="方正仿宋_GBK" w:hAnsi="方正仿宋_GBK" w:eastAsia="方正仿宋_GBK" w:cs="方正仿宋_GBK"/>
                <w:color w:val="auto"/>
                <w:sz w:val="21"/>
                <w:szCs w:val="21"/>
                <w:lang w:val="en-US" w:eastAsia="zh-CN"/>
              </w:rPr>
              <w:t>项目要求应当具备开展能力的设施和场景照片；</w:t>
            </w:r>
            <w:r>
              <w:rPr>
                <w:rFonts w:hint="eastAsia" w:ascii="方正仿宋_GBK" w:hAnsi="方正仿宋_GBK" w:eastAsia="方正仿宋_GBK" w:cs="方正仿宋_GBK"/>
                <w:color w:val="auto"/>
                <w:sz w:val="21"/>
                <w:szCs w:val="21"/>
                <w:lang w:val="en-US" w:eastAsia="zh-CN"/>
              </w:rPr>
              <w:sym w:font="Wingdings 2" w:char="00A3"/>
            </w:r>
            <w:r>
              <w:rPr>
                <w:rFonts w:hint="eastAsia" w:ascii="方正仿宋_GBK" w:hAnsi="方正仿宋_GBK" w:eastAsia="方正仿宋_GBK" w:cs="方正仿宋_GBK"/>
                <w:color w:val="auto"/>
                <w:sz w:val="21"/>
                <w:szCs w:val="21"/>
                <w:lang w:val="en-US" w:eastAsia="zh-CN"/>
              </w:rPr>
              <w:t>市场调节价项目医院</w:t>
            </w:r>
            <w:r>
              <w:rPr>
                <w:rFonts w:hint="eastAsia" w:ascii="方正仿宋_GBK" w:hAnsi="方正仿宋_GBK" w:eastAsia="方正仿宋_GBK" w:cs="方正仿宋_GBK"/>
                <w:color w:val="auto"/>
                <w:kern w:val="2"/>
                <w:sz w:val="21"/>
                <w:szCs w:val="21"/>
                <w:lang w:val="en-US" w:eastAsia="zh-CN" w:bidi="ar-SA"/>
              </w:rPr>
              <w:t>官网公示情况</w:t>
            </w:r>
            <w:r>
              <w:rPr>
                <w:rFonts w:hint="eastAsia" w:ascii="方正仿宋_GBK" w:hAnsi="方正仿宋_GBK" w:eastAsia="方正仿宋_GBK" w:cs="方正仿宋_GBK"/>
                <w:color w:val="auto"/>
                <w:sz w:val="21"/>
                <w:szCs w:val="21"/>
                <w:lang w:val="en-US" w:eastAsia="zh-CN"/>
              </w:rPr>
              <w:t>；</w:t>
            </w:r>
            <w:r>
              <w:rPr>
                <w:rFonts w:hint="eastAsia" w:ascii="方正仿宋_GBK" w:hAnsi="方正仿宋_GBK" w:eastAsia="方正仿宋_GBK" w:cs="方正仿宋_GBK"/>
                <w:color w:val="auto"/>
                <w:sz w:val="21"/>
                <w:szCs w:val="21"/>
                <w:lang w:val="en-US" w:eastAsia="zh-CN"/>
              </w:rPr>
              <w:sym w:font="Wingdings 2" w:char="00A3"/>
            </w:r>
            <w:r>
              <w:rPr>
                <w:rFonts w:hint="eastAsia" w:ascii="方正仿宋_GBK" w:hAnsi="方正仿宋_GBK" w:eastAsia="方正仿宋_GBK" w:cs="方正仿宋_GBK"/>
                <w:color w:val="auto"/>
                <w:kern w:val="2"/>
                <w:sz w:val="21"/>
                <w:szCs w:val="21"/>
                <w:lang w:val="en-US" w:eastAsia="zh-CN" w:bidi="ar-SA"/>
              </w:rPr>
              <w:t>医院区域内有关收费标准公开照片</w:t>
            </w:r>
            <w:r>
              <w:rPr>
                <w:rFonts w:hint="eastAsia" w:ascii="方正仿宋_GBK" w:hAnsi="方正仿宋_GBK" w:eastAsia="方正仿宋_GBK" w:cs="方正仿宋_GBK"/>
                <w:color w:val="auto"/>
                <w:kern w:val="2"/>
                <w:sz w:val="21"/>
                <w:szCs w:val="21"/>
                <w:lang w:val="en-US" w:eastAsia="zh-CN" w:bidi="ar-SA"/>
              </w:rPr>
              <w:sym w:font="Wingdings 2" w:char="00A3"/>
            </w:r>
            <w:r>
              <w:rPr>
                <w:rFonts w:hint="eastAsia" w:ascii="方正仿宋_GBK" w:hAnsi="方正仿宋_GBK" w:eastAsia="方正仿宋_GBK" w:cs="方正仿宋_GBK"/>
                <w:sz w:val="21"/>
                <w:szCs w:val="21"/>
                <w:lang w:val="en-US" w:eastAsia="zh-CN"/>
              </w:rPr>
              <w:t>制定市场调节价项目价格的方案、决策文件</w:t>
            </w:r>
            <w:r>
              <w:rPr>
                <w:rFonts w:hint="eastAsia" w:ascii="方正仿宋_GBK" w:hAnsi="方正仿宋_GBK" w:eastAsia="方正仿宋_GBK" w:cs="方正仿宋_GBK"/>
                <w:sz w:val="21"/>
                <w:szCs w:val="21"/>
                <w:lang w:val="en-US" w:eastAsia="zh-CN"/>
              </w:rPr>
              <w:sym w:font="Wingdings 2" w:char="00A3"/>
            </w:r>
            <w:r>
              <w:rPr>
                <w:rFonts w:hint="eastAsia" w:ascii="方正仿宋_GBK" w:hAnsi="方正仿宋_GBK" w:eastAsia="方正仿宋_GBK" w:cs="方正仿宋_GBK"/>
                <w:sz w:val="21"/>
                <w:szCs w:val="21"/>
                <w:u w:val="none"/>
                <w:lang w:val="en-US" w:eastAsia="zh-CN"/>
              </w:rPr>
              <w:t>涉及的医疗器械注册证许可证及营业执照（或可查询网址）；</w:t>
            </w:r>
            <w:r>
              <w:rPr>
                <w:rFonts w:hint="eastAsia" w:ascii="方正仿宋_GBK" w:hAnsi="方正仿宋_GBK" w:eastAsia="方正仿宋_GBK" w:cs="方正仿宋_GBK"/>
                <w:sz w:val="21"/>
                <w:szCs w:val="21"/>
                <w:u w:val="none"/>
                <w:lang w:val="en-US" w:eastAsia="zh-CN"/>
              </w:rPr>
              <w:sym w:font="Wingdings 2" w:char="00A3"/>
            </w:r>
            <w:r>
              <w:rPr>
                <w:rFonts w:hint="eastAsia" w:ascii="方正仿宋_GBK" w:hAnsi="方正仿宋_GBK" w:eastAsia="方正仿宋_GBK" w:cs="方正仿宋_GBK"/>
                <w:sz w:val="21"/>
                <w:szCs w:val="21"/>
                <w:u w:val="none"/>
                <w:lang w:val="en-US" w:eastAsia="zh-CN"/>
              </w:rPr>
              <w:t>成本测算的相关印证材料（医疗器械耗材采购票据或购买合同复印件</w:t>
            </w:r>
            <w:r>
              <w:rPr>
                <w:rFonts w:hint="eastAsia" w:ascii="方正仿宋_GBK" w:hAnsi="方正仿宋_GBK" w:eastAsia="方正仿宋_GBK" w:cs="方正仿宋_GBK"/>
                <w:sz w:val="21"/>
                <w:szCs w:val="21"/>
                <w:u w:val="none"/>
                <w:lang w:val="en-US" w:eastAsia="zh-CN"/>
              </w:rPr>
              <w:sym w:font="Wingdings 2" w:char="00A3"/>
            </w:r>
            <w:r>
              <w:rPr>
                <w:rFonts w:hint="eastAsia" w:ascii="方正仿宋_GBK" w:hAnsi="方正仿宋_GBK" w:eastAsia="方正仿宋_GBK" w:cs="方正仿宋_GBK"/>
                <w:sz w:val="21"/>
                <w:szCs w:val="21"/>
                <w:u w:val="none"/>
                <w:lang w:val="en-US" w:eastAsia="zh-CN"/>
              </w:rPr>
              <w:t>人员平均工时成本依据、</w:t>
            </w:r>
            <w:r>
              <w:rPr>
                <w:rFonts w:hint="eastAsia" w:ascii="方正仿宋_GBK" w:hAnsi="方正仿宋_GBK" w:eastAsia="方正仿宋_GBK" w:cs="方正仿宋_GBK"/>
                <w:sz w:val="21"/>
                <w:szCs w:val="21"/>
                <w:u w:val="none"/>
                <w:lang w:val="en-US" w:eastAsia="zh-CN"/>
              </w:rPr>
              <w:sym w:font="Wingdings 2" w:char="00A3"/>
            </w:r>
            <w:r>
              <w:rPr>
                <w:rFonts w:hint="eastAsia" w:ascii="方正仿宋_GBK" w:hAnsi="方正仿宋_GBK" w:eastAsia="方正仿宋_GBK" w:cs="方正仿宋_GBK"/>
                <w:sz w:val="21"/>
                <w:szCs w:val="21"/>
                <w:u w:val="none"/>
                <w:lang w:val="en-US" w:eastAsia="zh-CN"/>
              </w:rPr>
              <w:t>固定资产折旧证明等）</w:t>
            </w:r>
            <w:r>
              <w:rPr>
                <w:rFonts w:hint="eastAsia" w:ascii="方正仿宋_GBK" w:hAnsi="方正仿宋_GBK" w:eastAsia="方正仿宋_GBK" w:cs="方正仿宋_GBK"/>
                <w:sz w:val="21"/>
                <w:szCs w:val="21"/>
                <w:u w:val="none"/>
                <w:lang w:val="en-US" w:eastAsia="zh-CN"/>
              </w:rPr>
              <w:sym w:font="Wingdings 2" w:char="00A3"/>
            </w:r>
            <w:r>
              <w:rPr>
                <w:rFonts w:hint="eastAsia" w:ascii="方正仿宋_GBK" w:hAnsi="方正仿宋_GBK" w:eastAsia="方正仿宋_GBK" w:cs="方正仿宋_GBK"/>
                <w:sz w:val="21"/>
                <w:szCs w:val="21"/>
                <w:u w:val="none"/>
                <w:lang w:val="en-US" w:eastAsia="zh-CN"/>
              </w:rPr>
              <w:t>参比价证明材料（不少于3份）</w:t>
            </w:r>
          </w:p>
        </w:tc>
        <w:tc>
          <w:tcPr>
            <w:tcW w:w="2055" w:type="dxa"/>
            <w:noWrap w:val="0"/>
            <w:vAlign w:val="top"/>
          </w:tcPr>
          <w:p>
            <w:pPr>
              <w:numPr>
                <w:ilvl w:val="0"/>
                <w:numId w:val="0"/>
              </w:numPr>
              <w:rPr>
                <w:rFonts w:hint="default" w:ascii="方正仿宋_GBK" w:hAnsi="方正仿宋_GBK" w:eastAsia="方正仿宋_GBK" w:cs="方正仿宋_GBK"/>
                <w:sz w:val="32"/>
                <w:szCs w:val="32"/>
                <w:vertAlign w:val="baseline"/>
                <w:lang w:val="en-US" w:eastAsia="zh-CN"/>
              </w:rPr>
            </w:pPr>
          </w:p>
        </w:tc>
        <w:tc>
          <w:tcPr>
            <w:tcW w:w="1912" w:type="dxa"/>
            <w:noWrap w:val="0"/>
            <w:vAlign w:val="top"/>
          </w:tcPr>
          <w:p>
            <w:pPr>
              <w:numPr>
                <w:ilvl w:val="0"/>
                <w:numId w:val="0"/>
              </w:numPr>
              <w:rPr>
                <w:rFonts w:hint="eastAsia" w:ascii="方正仿宋_GBK" w:hAnsi="方正仿宋_GBK" w:eastAsia="方正仿宋_GBK" w:cs="方正仿宋_GBK"/>
                <w:color w:val="auto"/>
                <w:sz w:val="21"/>
                <w:szCs w:val="21"/>
                <w:lang w:val="en-US" w:eastAsia="zh-CN"/>
              </w:rPr>
            </w:pPr>
            <w:r>
              <w:rPr>
                <w:rFonts w:hint="default" w:ascii="方正仿宋_GBK" w:hAnsi="方正仿宋_GBK" w:eastAsia="方正仿宋_GBK" w:cs="方正仿宋_GBK"/>
                <w:color w:val="auto"/>
                <w:sz w:val="21"/>
                <w:szCs w:val="21"/>
                <w:lang w:val="en-US" w:eastAsia="zh-CN"/>
              </w:rPr>
              <w:sym w:font="Wingdings 2" w:char="00A3"/>
            </w:r>
            <w:r>
              <w:rPr>
                <w:rFonts w:hint="eastAsia" w:ascii="方正仿宋_GBK" w:hAnsi="方正仿宋_GBK" w:eastAsia="方正仿宋_GBK" w:cs="方正仿宋_GBK"/>
                <w:color w:val="auto"/>
                <w:sz w:val="21"/>
                <w:szCs w:val="21"/>
                <w:lang w:val="en-US" w:eastAsia="zh-CN"/>
              </w:rPr>
              <w:t>大厅滚动屏</w:t>
            </w:r>
          </w:p>
          <w:p>
            <w:pPr>
              <w:numPr>
                <w:ilvl w:val="0"/>
                <w:numId w:val="0"/>
              </w:numPr>
              <w:rPr>
                <w:rFonts w:hint="eastAsia" w:ascii="方正仿宋_GBK" w:hAnsi="方正仿宋_GBK" w:eastAsia="方正仿宋_GBK" w:cs="方正仿宋_GBK"/>
                <w:color w:val="auto"/>
                <w:sz w:val="21"/>
                <w:szCs w:val="21"/>
                <w:lang w:val="en-US" w:eastAsia="zh-CN"/>
              </w:rPr>
            </w:pPr>
            <w:r>
              <w:rPr>
                <w:rFonts w:hint="default" w:ascii="方正仿宋_GBK" w:hAnsi="方正仿宋_GBK" w:eastAsia="方正仿宋_GBK" w:cs="方正仿宋_GBK"/>
                <w:color w:val="auto"/>
                <w:sz w:val="21"/>
                <w:szCs w:val="21"/>
                <w:lang w:val="en-US" w:eastAsia="zh-CN"/>
              </w:rPr>
              <w:sym w:font="Wingdings 2" w:char="00A3"/>
            </w:r>
            <w:r>
              <w:rPr>
                <w:rFonts w:hint="eastAsia" w:ascii="方正仿宋_GBK" w:hAnsi="方正仿宋_GBK" w:eastAsia="方正仿宋_GBK" w:cs="方正仿宋_GBK"/>
                <w:color w:val="auto"/>
                <w:sz w:val="21"/>
                <w:szCs w:val="21"/>
                <w:lang w:val="en-US" w:eastAsia="zh-CN"/>
              </w:rPr>
              <w:t>临床科室区域</w:t>
            </w:r>
          </w:p>
          <w:p>
            <w:pPr>
              <w:numPr>
                <w:ilvl w:val="0"/>
                <w:numId w:val="0"/>
              </w:numPr>
              <w:rPr>
                <w:rFonts w:hint="default" w:ascii="方正仿宋_GBK" w:hAnsi="方正仿宋_GBK" w:eastAsia="方正仿宋_GBK" w:cs="方正仿宋_GBK"/>
                <w:sz w:val="21"/>
                <w:szCs w:val="21"/>
                <w:lang w:val="en-US" w:eastAsia="zh-CN"/>
              </w:rPr>
            </w:pPr>
            <w:r>
              <w:rPr>
                <w:rFonts w:hint="default" w:ascii="方正仿宋_GBK" w:hAnsi="方正仿宋_GBK" w:eastAsia="方正仿宋_GBK" w:cs="方正仿宋_GBK"/>
                <w:color w:val="auto"/>
                <w:sz w:val="21"/>
                <w:szCs w:val="21"/>
                <w:lang w:val="en-US" w:eastAsia="zh-CN"/>
              </w:rPr>
              <w:sym w:font="Wingdings 2" w:char="00A3"/>
            </w:r>
            <w:r>
              <w:rPr>
                <w:rFonts w:hint="eastAsia" w:ascii="方正仿宋_GBK" w:hAnsi="方正仿宋_GBK" w:eastAsia="方正仿宋_GBK" w:cs="方正仿宋_GBK"/>
                <w:color w:val="auto"/>
                <w:sz w:val="21"/>
                <w:szCs w:val="21"/>
                <w:lang w:val="en-US" w:eastAsia="zh-CN"/>
              </w:rPr>
              <w:t>其他（注明）</w:t>
            </w:r>
          </w:p>
        </w:tc>
        <w:tc>
          <w:tcPr>
            <w:tcW w:w="2835" w:type="dxa"/>
            <w:noWrap w:val="0"/>
            <w:vAlign w:val="top"/>
          </w:tcPr>
          <w:p>
            <w:pPr>
              <w:numPr>
                <w:ilvl w:val="0"/>
                <w:numId w:val="0"/>
              </w:numPr>
              <w:rPr>
                <w:rFonts w:hint="default" w:ascii="方正仿宋_GBK" w:hAnsi="方正仿宋_GBK" w:eastAsia="方正仿宋_GBK" w:cs="方正仿宋_GBK"/>
                <w:sz w:val="21"/>
                <w:szCs w:val="21"/>
                <w:lang w:val="en-US" w:eastAsia="zh-CN"/>
              </w:rPr>
            </w:pPr>
          </w:p>
        </w:tc>
      </w:tr>
    </w:tbl>
    <w:p>
      <w:pPr>
        <w:numPr>
          <w:ilvl w:val="0"/>
          <w:numId w:val="0"/>
        </w:num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我院承诺对以上资料的真实性、有效性和合法性负责。    </w:t>
      </w:r>
    </w:p>
    <w:p>
      <w:pPr>
        <w:numPr>
          <w:ilvl w:val="0"/>
          <w:numId w:val="0"/>
        </w:num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承诺人（医保办负责人）：</w:t>
      </w:r>
    </w:p>
    <w:p>
      <w:pPr>
        <w:numPr>
          <w:ilvl w:val="0"/>
          <w:numId w:val="0"/>
        </w:numPr>
        <w:rPr>
          <w:rFonts w:hint="default"/>
          <w:lang w:val="en-US" w:eastAsia="zh-CN"/>
        </w:rPr>
      </w:pPr>
      <w:r>
        <w:rPr>
          <w:rFonts w:hint="eastAsia" w:ascii="方正仿宋_GBK" w:hAnsi="方正仿宋_GBK" w:eastAsia="方正仿宋_GBK" w:cs="方正仿宋_GBK"/>
          <w:color w:val="auto"/>
          <w:sz w:val="28"/>
          <w:szCs w:val="28"/>
          <w:lang w:val="en-US" w:eastAsia="zh-CN"/>
        </w:rPr>
        <w:t>现场对接人</w:t>
      </w:r>
      <w:r>
        <w:rPr>
          <w:rFonts w:hint="eastAsia" w:ascii="方正仿宋_GBK" w:hAnsi="方正仿宋_GBK" w:eastAsia="方正仿宋_GBK" w:cs="方正仿宋_GBK"/>
          <w:sz w:val="28"/>
          <w:szCs w:val="28"/>
          <w:lang w:val="en-US" w:eastAsia="zh-CN"/>
        </w:rPr>
        <w:t xml:space="preserve">（双人）：                </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CESI宋体-GB18030">
    <w:panose1 w:val="02000500000000000000"/>
    <w:charset w:val="86"/>
    <w:family w:val="auto"/>
    <w:pitch w:val="default"/>
    <w:sig w:usb0="A00002BF" w:usb1="38C7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Wingdings 3">
    <w:panose1 w:val="05040102010807070707"/>
    <w:charset w:val="00"/>
    <w:family w:val="auto"/>
    <w:pitch w:val="default"/>
    <w:sig w:usb0="00000000" w:usb1="00000000" w:usb2="00000000" w:usb3="00000000" w:csb0="80000000" w:csb1="00000000"/>
  </w:font>
  <w:font w:name="Noto Serif Tibetan">
    <w:panose1 w:val="02020502060505020204"/>
    <w:charset w:val="00"/>
    <w:family w:val="auto"/>
    <w:pitch w:val="default"/>
    <w:sig w:usb0="80000003" w:usb1="00006000" w:usb2="00000040" w:usb3="00000000" w:csb0="00000001" w:csb1="00000000"/>
  </w:font>
  <w:font w:name="Noto Serif Myanmar">
    <w:panose1 w:val="02020502060505020204"/>
    <w:charset w:val="00"/>
    <w:family w:val="auto"/>
    <w:pitch w:val="default"/>
    <w:sig w:usb0="80000003" w:usb1="00002000" w:usb2="08000400" w:usb3="001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y0PJt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ctDybSsCAABVBAAADgAAAAAAAAABACAAAAA1AQAAZHJz&#10;L2Uyb0RvYy54bWxQSwUGAAAAAAYABgBZAQAA0gUAAAAA&#10;">
              <v:fill on="f" focussize="0,0"/>
              <v:stroke on="f" weight="0.5pt"/>
              <v:imagedata o:title=""/>
              <o:lock v:ext="edit" aspectratio="f"/>
              <v:textbox inset="0mm,0mm,0mm,0mm" style="mso-fit-shape-to-text:t;">
                <w:txbxContent>
                  <w:p>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11"/>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11"/>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RHQNbVAAAACQEAAA8AAAAAAAAAAQAgAAAAOAAAAGRy&#10;cy9kb3ducmV2LnhtbFBLAQIUABQAAAAIAIdO4kAF7rse8gEAAL0DAAAOAAAAAAAAAAEAIAAAADoB&#10;AABkcnMvZTJvRG9jLnhtbFBLBQYAAAAABgAGAFkBAACeBQAAAAA=&#10;">
              <v:fill on="f" focussize="0,0"/>
              <v:stroke weight="1.75pt" color="#005192 [3204]" miterlimit="8" joinstyle="miter"/>
              <v:imagedata o:title=""/>
              <o:lock v:ext="edit" aspectratio="f"/>
            </v:line>
          </w:pict>
        </mc:Fallback>
      </mc:AlternateContent>
    </w:r>
  </w:p>
  <w:p>
    <w:pPr>
      <w:pStyle w:val="11"/>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ZGZmMWYxNWUwNGI5NzVhNGQ1ZmVjNmM1ODE3ZDg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B0912D7"/>
    <w:rsid w:val="0EE3051E"/>
    <w:rsid w:val="0FAD3BC0"/>
    <w:rsid w:val="104A7615"/>
    <w:rsid w:val="1277193D"/>
    <w:rsid w:val="142A6579"/>
    <w:rsid w:val="152D2DCA"/>
    <w:rsid w:val="153913E2"/>
    <w:rsid w:val="17DB6A12"/>
    <w:rsid w:val="1BFC170E"/>
    <w:rsid w:val="1D7FF698"/>
    <w:rsid w:val="1DD97D69"/>
    <w:rsid w:val="1DEC284C"/>
    <w:rsid w:val="1E6523AC"/>
    <w:rsid w:val="1EE74F5A"/>
    <w:rsid w:val="1FBF09CD"/>
    <w:rsid w:val="1FFA7124"/>
    <w:rsid w:val="22440422"/>
    <w:rsid w:val="2A5C1C3C"/>
    <w:rsid w:val="2E9C2BDF"/>
    <w:rsid w:val="2FCB6B86"/>
    <w:rsid w:val="31A15F24"/>
    <w:rsid w:val="31B72082"/>
    <w:rsid w:val="35ECB40B"/>
    <w:rsid w:val="37EE2BCD"/>
    <w:rsid w:val="37F3855A"/>
    <w:rsid w:val="395347B5"/>
    <w:rsid w:val="398E534A"/>
    <w:rsid w:val="39A232A0"/>
    <w:rsid w:val="39E745AA"/>
    <w:rsid w:val="3B5A6BBB"/>
    <w:rsid w:val="3EDA13A6"/>
    <w:rsid w:val="3F4ED42A"/>
    <w:rsid w:val="3F5FBCFA"/>
    <w:rsid w:val="3FC82FE6"/>
    <w:rsid w:val="3FD7B476"/>
    <w:rsid w:val="3FF21DD0"/>
    <w:rsid w:val="42F058B7"/>
    <w:rsid w:val="436109F6"/>
    <w:rsid w:val="441A38D4"/>
    <w:rsid w:val="447A10D3"/>
    <w:rsid w:val="494553A6"/>
    <w:rsid w:val="4A5162EE"/>
    <w:rsid w:val="4B0A0B56"/>
    <w:rsid w:val="4BC77339"/>
    <w:rsid w:val="4BFEEF22"/>
    <w:rsid w:val="4C9236C5"/>
    <w:rsid w:val="4EFDF7A3"/>
    <w:rsid w:val="505C172E"/>
    <w:rsid w:val="52C74409"/>
    <w:rsid w:val="52F46F0B"/>
    <w:rsid w:val="53D8014D"/>
    <w:rsid w:val="5550603F"/>
    <w:rsid w:val="55A56411"/>
    <w:rsid w:val="55E064E0"/>
    <w:rsid w:val="5660369E"/>
    <w:rsid w:val="572C6D10"/>
    <w:rsid w:val="58FF1588"/>
    <w:rsid w:val="5A9DFC9A"/>
    <w:rsid w:val="5BED07E7"/>
    <w:rsid w:val="5DC34279"/>
    <w:rsid w:val="5ED1FC91"/>
    <w:rsid w:val="5F2929D4"/>
    <w:rsid w:val="5FDF14E9"/>
    <w:rsid w:val="5FEF63C4"/>
    <w:rsid w:val="5FEFFD73"/>
    <w:rsid w:val="608816D1"/>
    <w:rsid w:val="60EF4E7F"/>
    <w:rsid w:val="632B726B"/>
    <w:rsid w:val="665233C1"/>
    <w:rsid w:val="67750F81"/>
    <w:rsid w:val="67FFCE1D"/>
    <w:rsid w:val="6AD45862"/>
    <w:rsid w:val="6AD9688B"/>
    <w:rsid w:val="6AEE1AB5"/>
    <w:rsid w:val="6C681542"/>
    <w:rsid w:val="6CFE7E69"/>
    <w:rsid w:val="6D0E3F22"/>
    <w:rsid w:val="6DAE3E2B"/>
    <w:rsid w:val="6F2B6B62"/>
    <w:rsid w:val="6F8477EE"/>
    <w:rsid w:val="6FB5D51A"/>
    <w:rsid w:val="6FBC5506"/>
    <w:rsid w:val="6FFEFF03"/>
    <w:rsid w:val="6FFF01FF"/>
    <w:rsid w:val="70D53502"/>
    <w:rsid w:val="737C3597"/>
    <w:rsid w:val="73826795"/>
    <w:rsid w:val="73FD4D9A"/>
    <w:rsid w:val="73FF9C48"/>
    <w:rsid w:val="74F1485B"/>
    <w:rsid w:val="77DF338F"/>
    <w:rsid w:val="7BFABE2F"/>
    <w:rsid w:val="7C844D47"/>
    <w:rsid w:val="7C9011D9"/>
    <w:rsid w:val="7CAF8EB9"/>
    <w:rsid w:val="7CBEC9A0"/>
    <w:rsid w:val="7CDFD004"/>
    <w:rsid w:val="7DB3CE62"/>
    <w:rsid w:val="7DBAEFF6"/>
    <w:rsid w:val="7DC651C5"/>
    <w:rsid w:val="7E6F92FA"/>
    <w:rsid w:val="7EF339BC"/>
    <w:rsid w:val="7EFFA363"/>
    <w:rsid w:val="7F27B9A0"/>
    <w:rsid w:val="7FB7BCC5"/>
    <w:rsid w:val="7FCC2834"/>
    <w:rsid w:val="7FFF2AAD"/>
    <w:rsid w:val="7FFF3D0A"/>
    <w:rsid w:val="7FFF623D"/>
    <w:rsid w:val="8CFBF020"/>
    <w:rsid w:val="8EF7A998"/>
    <w:rsid w:val="93EF650F"/>
    <w:rsid w:val="97FF0B14"/>
    <w:rsid w:val="9BBBC31A"/>
    <w:rsid w:val="9BFF8357"/>
    <w:rsid w:val="9FFD5230"/>
    <w:rsid w:val="A5DB3F0D"/>
    <w:rsid w:val="ABDD4EDE"/>
    <w:rsid w:val="ABF36FEE"/>
    <w:rsid w:val="AE9FBB56"/>
    <w:rsid w:val="AFF7D1AA"/>
    <w:rsid w:val="B1BD887D"/>
    <w:rsid w:val="B8FF4A11"/>
    <w:rsid w:val="B9FD8933"/>
    <w:rsid w:val="BE7F80C5"/>
    <w:rsid w:val="BFEF8B8C"/>
    <w:rsid w:val="BFF77C84"/>
    <w:rsid w:val="C5DF61A4"/>
    <w:rsid w:val="CF466094"/>
    <w:rsid w:val="D6B76DA2"/>
    <w:rsid w:val="D87BEDBA"/>
    <w:rsid w:val="DF5B4551"/>
    <w:rsid w:val="DF9B1977"/>
    <w:rsid w:val="DFA4211E"/>
    <w:rsid w:val="DFBFF891"/>
    <w:rsid w:val="E7666AEB"/>
    <w:rsid w:val="E77F6F06"/>
    <w:rsid w:val="EBF3C4F2"/>
    <w:rsid w:val="EDFF38AB"/>
    <w:rsid w:val="EF6B319B"/>
    <w:rsid w:val="EFFD2213"/>
    <w:rsid w:val="F2FF8B91"/>
    <w:rsid w:val="F67F792D"/>
    <w:rsid w:val="F7330027"/>
    <w:rsid w:val="F73BDBDD"/>
    <w:rsid w:val="F7DC2438"/>
    <w:rsid w:val="FBA768D8"/>
    <w:rsid w:val="FBFBD7B9"/>
    <w:rsid w:val="FCF96F60"/>
    <w:rsid w:val="FDA60DCA"/>
    <w:rsid w:val="FEFFFF76"/>
    <w:rsid w:val="FF95F1E8"/>
    <w:rsid w:val="FFCDC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ind w:left="120"/>
      <w:outlineLvl w:val="1"/>
    </w:pPr>
    <w:rPr>
      <w:rFonts w:ascii="宋体" w:hAnsi="宋体" w:eastAsia="宋体" w:cs="宋体"/>
      <w:sz w:val="44"/>
      <w:szCs w:val="44"/>
      <w:lang w:val="en-US" w:eastAsia="zh-CN" w:bidi="ar-SA"/>
    </w:rPr>
  </w:style>
  <w:style w:type="paragraph" w:styleId="3">
    <w:name w:val="heading 2"/>
    <w:next w:val="1"/>
    <w:unhideWhenUsed/>
    <w:qFormat/>
    <w:uiPriority w:val="9"/>
    <w:pPr>
      <w:widowControl w:val="0"/>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outlineLvl w:val="2"/>
    </w:pPr>
    <w:rPr>
      <w:rFonts w:ascii="黑体" w:hAnsi="黑体" w:eastAsia="黑体" w:cs="黑体"/>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cs="Times New Roman"/>
      <w:szCs w:val="20"/>
    </w:rPr>
  </w:style>
  <w:style w:type="paragraph" w:styleId="6">
    <w:name w:val="annotation text"/>
    <w:basedOn w:val="1"/>
    <w:qFormat/>
    <w:uiPriority w:val="0"/>
    <w:pPr>
      <w:jc w:val="left"/>
    </w:pPr>
  </w:style>
  <w:style w:type="paragraph" w:styleId="7">
    <w:name w:val="Body Text"/>
    <w:basedOn w:val="1"/>
    <w:qFormat/>
    <w:uiPriority w:val="1"/>
    <w:rPr>
      <w:rFonts w:ascii="仿宋" w:hAnsi="仿宋" w:eastAsia="仿宋" w:cs="仿宋"/>
      <w:sz w:val="32"/>
      <w:szCs w:val="32"/>
      <w:lang w:val="en-US" w:eastAsia="zh-CN" w:bidi="ar-SA"/>
    </w:rPr>
  </w:style>
  <w:style w:type="paragraph" w:styleId="8">
    <w:name w:val="Plain Text"/>
    <w:basedOn w:val="1"/>
    <w:link w:val="19"/>
    <w:qFormat/>
    <w:uiPriority w:val="0"/>
    <w:rPr>
      <w:rFonts w:ascii="宋体" w:hAnsi="Courier New" w:eastAsia="仿宋_GB2312" w:cs="Courier New"/>
      <w:sz w:val="32"/>
      <w:szCs w:val="21"/>
    </w:rPr>
  </w:style>
  <w:style w:type="paragraph" w:styleId="9">
    <w:name w:val="Body Text Indent 2"/>
    <w:basedOn w:val="1"/>
    <w:unhideWhenUsed/>
    <w:qFormat/>
    <w:uiPriority w:val="99"/>
    <w:pPr>
      <w:spacing w:after="120" w:line="480" w:lineRule="auto"/>
      <w:ind w:left="420" w:leftChars="200"/>
    </w:pPr>
    <w:rPr>
      <w:rFonts w:ascii="Calibri" w:hAnsi="Calibri" w:eastAsia="宋体" w:cs="Times New Roman"/>
      <w:sz w:val="21"/>
      <w:szCs w:val="2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Body Text 2"/>
    <w:basedOn w:val="1"/>
    <w:unhideWhenUsed/>
    <w:qFormat/>
    <w:uiPriority w:val="99"/>
    <w:pPr>
      <w:spacing w:after="120" w:line="480" w:lineRule="auto"/>
    </w:pPr>
    <w:rPr>
      <w:rFonts w:ascii="Calibri" w:hAnsi="Calibri" w:eastAsia="宋体" w:cs="Times New Roman"/>
    </w:rPr>
  </w:style>
  <w:style w:type="paragraph" w:styleId="13">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annotation reference"/>
    <w:basedOn w:val="16"/>
    <w:qFormat/>
    <w:uiPriority w:val="0"/>
    <w:rPr>
      <w:sz w:val="21"/>
      <w:szCs w:val="21"/>
    </w:rPr>
  </w:style>
  <w:style w:type="character" w:customStyle="1" w:styleId="19">
    <w:name w:val="纯文本 字符"/>
    <w:basedOn w:val="16"/>
    <w:link w:val="8"/>
    <w:qFormat/>
    <w:uiPriority w:val="0"/>
    <w:rPr>
      <w:rFonts w:ascii="宋体" w:hAnsi="Courier New" w:eastAsia="仿宋_GB2312" w:cs="Courier New"/>
      <w:kern w:val="2"/>
      <w:sz w:val="32"/>
      <w:szCs w:val="21"/>
    </w:rPr>
  </w:style>
  <w:style w:type="paragraph" w:customStyle="1" w:styleId="20">
    <w:name w:val="_Style 9"/>
    <w:basedOn w:val="1"/>
    <w:next w:val="21"/>
    <w:qFormat/>
    <w:uiPriority w:val="99"/>
    <w:pPr>
      <w:ind w:firstLine="420" w:firstLineChars="200"/>
    </w:pPr>
    <w:rPr>
      <w:rFonts w:ascii="Times New Roman" w:hAnsi="Times New Roman" w:eastAsia="宋体" w:cs="Times New Roman"/>
      <w:szCs w:val="21"/>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3121</Words>
  <Characters>3176</Characters>
  <Lines>30</Lines>
  <Paragraphs>8</Paragraphs>
  <TotalTime>3</TotalTime>
  <ScaleCrop>false</ScaleCrop>
  <LinksUpToDate>false</LinksUpToDate>
  <CharactersWithSpaces>3299</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2021-12-11T07:33:00Z</dcterms:created>
  <dc:creator>t</dc:creator>
  <cp:lastModifiedBy>陈两岁</cp:lastModifiedBy>
  <cp:lastPrinted>2021-11-02T03:30:00Z</cp:lastPrinted>
  <dcterms:modified xsi:type="dcterms:W3CDTF">2026-06-25T10:17:53Z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490C2ABB635C433CBB20168B68D2FCB7</vt:lpwstr>
  </property>
</Properties>
</file>