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590" w:lineRule="exact"/>
        <w:ind w:left="0" w:leftChars="0"/>
        <w:jc w:val="left"/>
        <w:textAlignment w:val="auto"/>
        <w:rPr>
          <w:rFonts w:hint="eastAsia" w:ascii="方正小标宋简体" w:hAnsi="方正小标宋简体" w:eastAsia="方正小标宋简体" w:cs="方正小标宋简体"/>
          <w:sz w:val="44"/>
          <w:szCs w:val="4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90" w:lineRule="exact"/>
        <w:ind w:left="0" w:leftChars="0"/>
        <w:jc w:val="left"/>
        <w:textAlignment w:val="auto"/>
        <w:rPr>
          <w:rFonts w:hint="eastAsia" w:ascii="方正小标宋简体" w:hAnsi="方正小标宋简体" w:eastAsia="方正小标宋简体" w:cs="方正小标宋简体"/>
          <w:sz w:val="44"/>
          <w:szCs w:val="4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90" w:lineRule="exact"/>
        <w:ind w:left="0" w:leftChars="0"/>
        <w:jc w:val="center"/>
        <w:textAlignment w:val="auto"/>
        <w:rPr>
          <w:rFonts w:hint="eastAsia" w:ascii="方正小标宋_GBK" w:hAnsi="方正小标宋_GBK" w:eastAsia="方正小标宋_GBK" w:cs="方正小标宋_GBK"/>
          <w:sz w:val="44"/>
          <w:szCs w:val="44"/>
          <w:highlight w:val="none"/>
        </w:rPr>
      </w:pPr>
      <w:r>
        <w:rPr>
          <w:rFonts w:hint="eastAsia" w:ascii="方正小标宋_GBK" w:hAnsi="方正小标宋_GBK" w:eastAsia="方正小标宋_GBK" w:cs="方正小标宋_GBK"/>
          <w:sz w:val="44"/>
          <w:szCs w:val="44"/>
          <w:highlight w:val="none"/>
          <w:lang w:val="en-US" w:eastAsia="zh-CN"/>
        </w:rPr>
        <w:t>关于印发《</w:t>
      </w:r>
      <w:r>
        <w:rPr>
          <w:rFonts w:hint="eastAsia" w:ascii="方正小标宋_GBK" w:hAnsi="方正小标宋_GBK" w:eastAsia="方正小标宋_GBK" w:cs="方正小标宋_GBK"/>
          <w:sz w:val="44"/>
          <w:szCs w:val="44"/>
          <w:highlight w:val="none"/>
          <w:lang w:eastAsia="zh-CN"/>
        </w:rPr>
        <w:t>芜湖市</w:t>
      </w:r>
      <w:r>
        <w:rPr>
          <w:rFonts w:hint="eastAsia" w:ascii="方正小标宋_GBK" w:hAnsi="方正小标宋_GBK" w:eastAsia="方正小标宋_GBK" w:cs="方正小标宋_GBK"/>
          <w:sz w:val="44"/>
          <w:szCs w:val="44"/>
          <w:highlight w:val="none"/>
        </w:rPr>
        <w:t>基本医疗保险定点医药</w:t>
      </w:r>
    </w:p>
    <w:p>
      <w:pPr>
        <w:keepNext w:val="0"/>
        <w:keepLines w:val="0"/>
        <w:pageBreakBefore w:val="0"/>
        <w:widowControl w:val="0"/>
        <w:kinsoku/>
        <w:wordWrap/>
        <w:overflowPunct/>
        <w:topLinePunct w:val="0"/>
        <w:autoSpaceDE/>
        <w:autoSpaceDN/>
        <w:bidi w:val="0"/>
        <w:adjustRightInd/>
        <w:snapToGrid/>
        <w:spacing w:line="590" w:lineRule="exact"/>
        <w:ind w:left="0" w:leftChars="0"/>
        <w:jc w:val="center"/>
        <w:textAlignment w:val="auto"/>
        <w:rPr>
          <w:rFonts w:hint="eastAsia" w:ascii="方正小标宋_GBK" w:hAnsi="方正小标宋_GBK" w:eastAsia="方正小标宋_GBK" w:cs="方正小标宋_GBK"/>
          <w:sz w:val="44"/>
          <w:szCs w:val="44"/>
          <w:highlight w:val="none"/>
          <w:lang w:val="en-US" w:eastAsia="zh-CN"/>
        </w:rPr>
      </w:pPr>
      <w:r>
        <w:rPr>
          <w:rFonts w:hint="eastAsia" w:ascii="方正小标宋_GBK" w:hAnsi="方正小标宋_GBK" w:eastAsia="方正小标宋_GBK" w:cs="方正小标宋_GBK"/>
          <w:sz w:val="44"/>
          <w:szCs w:val="44"/>
          <w:highlight w:val="none"/>
        </w:rPr>
        <w:t>机构准</w:t>
      </w:r>
      <w:r>
        <w:rPr>
          <w:rFonts w:hint="eastAsia" w:ascii="方正小标宋_GBK" w:hAnsi="方正小标宋_GBK" w:eastAsia="方正小标宋_GBK" w:cs="方正小标宋_GBK"/>
          <w:sz w:val="44"/>
          <w:szCs w:val="44"/>
          <w:highlight w:val="none"/>
          <w:lang w:eastAsia="zh-CN"/>
        </w:rPr>
        <w:t>入</w:t>
      </w:r>
      <w:r>
        <w:rPr>
          <w:rFonts w:hint="eastAsia" w:ascii="方正小标宋_GBK" w:hAnsi="方正小标宋_GBK" w:eastAsia="方正小标宋_GBK" w:cs="方正小标宋_GBK"/>
          <w:sz w:val="44"/>
          <w:szCs w:val="44"/>
          <w:highlight w:val="none"/>
        </w:rPr>
        <w:t>退出管理暂行办法</w:t>
      </w:r>
      <w:r>
        <w:rPr>
          <w:rFonts w:hint="eastAsia" w:ascii="方正小标宋_GBK" w:hAnsi="方正小标宋_GBK" w:eastAsia="方正小标宋_GBK" w:cs="方正小标宋_GBK"/>
          <w:sz w:val="44"/>
          <w:szCs w:val="44"/>
          <w:highlight w:val="none"/>
          <w:lang w:eastAsia="zh-CN"/>
        </w:rPr>
        <w:t>》</w:t>
      </w:r>
      <w:r>
        <w:rPr>
          <w:rFonts w:hint="eastAsia" w:ascii="方正小标宋_GBK" w:hAnsi="方正小标宋_GBK" w:eastAsia="方正小标宋_GBK" w:cs="方正小标宋_GBK"/>
          <w:sz w:val="44"/>
          <w:szCs w:val="44"/>
          <w:highlight w:val="none"/>
          <w:lang w:val="en-US" w:eastAsia="zh-CN"/>
        </w:rPr>
        <w:t>的通知</w:t>
      </w:r>
    </w:p>
    <w:p>
      <w:pPr>
        <w:keepNext w:val="0"/>
        <w:keepLines w:val="0"/>
        <w:pageBreakBefore w:val="0"/>
        <w:widowControl w:val="0"/>
        <w:kinsoku/>
        <w:wordWrap/>
        <w:overflowPunct/>
        <w:topLinePunct w:val="0"/>
        <w:autoSpaceDE/>
        <w:autoSpaceDN/>
        <w:bidi w:val="0"/>
        <w:adjustRightInd/>
        <w:snapToGrid/>
        <w:spacing w:line="590" w:lineRule="exact"/>
        <w:ind w:left="0" w:leftChars="0"/>
        <w:jc w:val="center"/>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rPr>
        <w:t>芜医保〔2026〕14号</w:t>
      </w:r>
    </w:p>
    <w:p>
      <w:pPr>
        <w:keepNext w:val="0"/>
        <w:keepLines w:val="0"/>
        <w:pageBreakBefore w:val="0"/>
        <w:widowControl w:val="0"/>
        <w:kinsoku/>
        <w:wordWrap/>
        <w:overflowPunct/>
        <w:topLinePunct w:val="0"/>
        <w:autoSpaceDE/>
        <w:autoSpaceDN/>
        <w:bidi w:val="0"/>
        <w:adjustRightInd/>
        <w:snapToGrid/>
        <w:spacing w:line="590" w:lineRule="exact"/>
        <w:ind w:left="0" w:leftChars="0"/>
        <w:jc w:val="left"/>
        <w:textAlignment w:val="auto"/>
        <w:rPr>
          <w:rFonts w:hint="default" w:ascii="Times New Roman" w:hAnsi="Times New Roman" w:cs="Times New Roman"/>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590" w:lineRule="exact"/>
        <w:ind w:left="0" w:leftChars="0"/>
        <w:jc w:val="left"/>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各县市区医保分局、直属分局，各有关单位：</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现将《芜湖市基本医疗保险定点医药机构准入退出管理暂行办法》印发给你们，请遵照执行。</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仿宋_GB2312" w:cs="Times New Roman"/>
          <w:lang w:val="en-US" w:eastAsia="zh-CN"/>
        </w:rPr>
      </w:pP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仿宋_GB2312" w:cs="Times New Roman"/>
          <w:lang w:val="en-US" w:eastAsia="zh-CN"/>
        </w:rPr>
      </w:pPr>
    </w:p>
    <w:p>
      <w:pPr>
        <w:keepNext w:val="0"/>
        <w:keepLines w:val="0"/>
        <w:pageBreakBefore w:val="0"/>
        <w:widowControl w:val="0"/>
        <w:kinsoku/>
        <w:wordWrap w:val="0"/>
        <w:overflowPunct/>
        <w:topLinePunct w:val="0"/>
        <w:autoSpaceDE/>
        <w:autoSpaceDN/>
        <w:bidi w:val="0"/>
        <w:adjustRightInd/>
        <w:snapToGrid/>
        <w:spacing w:line="590" w:lineRule="exact"/>
        <w:ind w:left="0" w:leftChars="0" w:firstLine="640" w:firstLineChars="200"/>
        <w:jc w:val="right"/>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芜湖市医疗保障局</w:t>
      </w:r>
      <w:r>
        <w:rPr>
          <w:rFonts w:hint="eastAsia" w:ascii="Times New Roman" w:hAnsi="Times New Roman" w:eastAsia="方正仿宋_GBK" w:cs="Times New Roman"/>
          <w:lang w:val="en-US" w:eastAsia="zh-CN"/>
        </w:rPr>
        <w:t xml:space="preserve">  </w:t>
      </w:r>
    </w:p>
    <w:p>
      <w:pPr>
        <w:keepNext w:val="0"/>
        <w:keepLines w:val="0"/>
        <w:pageBreakBefore w:val="0"/>
        <w:widowControl w:val="0"/>
        <w:kinsoku/>
        <w:wordWrap w:val="0"/>
        <w:overflowPunct/>
        <w:topLinePunct w:val="0"/>
        <w:autoSpaceDE/>
        <w:autoSpaceDN/>
        <w:bidi w:val="0"/>
        <w:adjustRightInd/>
        <w:snapToGrid/>
        <w:spacing w:line="590" w:lineRule="exact"/>
        <w:ind w:left="0" w:leftChars="0" w:firstLine="640" w:firstLineChars="200"/>
        <w:jc w:val="right"/>
        <w:textAlignment w:val="auto"/>
        <w:rPr>
          <w:rFonts w:hint="default" w:ascii="Times New Roman" w:hAnsi="Times New Roman" w:eastAsia="方正仿宋_GBK" w:cs="Times New Roman"/>
          <w:lang w:val="en-US"/>
        </w:rPr>
      </w:pPr>
      <w:r>
        <w:rPr>
          <w:rFonts w:hint="default" w:ascii="Times New Roman" w:hAnsi="Times New Roman" w:eastAsia="方正仿宋_GBK" w:cs="Times New Roman"/>
          <w:lang w:val="en-US" w:eastAsia="zh-CN"/>
        </w:rPr>
        <w:t>2026年5月6日</w:t>
      </w:r>
      <w:r>
        <w:rPr>
          <w:rFonts w:hint="eastAsia" w:ascii="Times New Roman" w:hAnsi="Times New Roman" w:eastAsia="方正仿宋_GBK" w:cs="Times New Roman"/>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仿宋_GB2312" w:cs="Times New Roman"/>
          <w:lang w:val="en-US" w:eastAsia="zh-CN"/>
        </w:rPr>
      </w:pP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仿宋_GB2312" w:cs="Times New Roman"/>
          <w:lang w:eastAsia="zh-CN"/>
        </w:rPr>
      </w:pP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仿宋_GB2312" w:cs="Times New Roman"/>
          <w:lang w:eastAsia="zh-CN"/>
        </w:rPr>
      </w:pP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仿宋_GB2312" w:cs="Times New Roman"/>
          <w:lang w:eastAsia="zh-CN"/>
        </w:rPr>
      </w:pP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仿宋_GB2312" w:cs="Times New Roman"/>
          <w:lang w:eastAsia="zh-CN"/>
        </w:rPr>
      </w:pPr>
    </w:p>
    <w:p>
      <w:pPr>
        <w:pStyle w:val="2"/>
        <w:rPr>
          <w:rFonts w:hint="default" w:ascii="Times New Roman" w:hAnsi="Times New Roman" w:eastAsia="仿宋_GB2312" w:cs="Times New Roman"/>
          <w:lang w:eastAsia="zh-CN"/>
        </w:rPr>
      </w:pPr>
    </w:p>
    <w:p>
      <w:pPr>
        <w:rPr>
          <w:rFonts w:hint="default"/>
          <w:lang w:eastAsia="zh-CN"/>
        </w:rPr>
      </w:pPr>
    </w:p>
    <w:p>
      <w:pPr>
        <w:keepNext w:val="0"/>
        <w:keepLines w:val="0"/>
        <w:pageBreakBefore w:val="0"/>
        <w:widowControl w:val="0"/>
        <w:kinsoku/>
        <w:wordWrap/>
        <w:overflowPunct/>
        <w:topLinePunct w:val="0"/>
        <w:autoSpaceDE/>
        <w:autoSpaceDN/>
        <w:bidi w:val="0"/>
        <w:adjustRightInd/>
        <w:snapToGrid/>
        <w:spacing w:line="590" w:lineRule="exact"/>
        <w:ind w:left="0" w:leftChars="0" w:firstLine="0" w:firstLineChars="0"/>
        <w:jc w:val="left"/>
        <w:textAlignment w:val="auto"/>
        <w:rPr>
          <w:rFonts w:hint="default" w:ascii="Times New Roman" w:hAnsi="Times New Roman" w:eastAsia="方正小标宋简体" w:cs="Times New Roman"/>
          <w:sz w:val="44"/>
          <w:szCs w:val="44"/>
          <w:lang w:eastAsia="zh-CN"/>
        </w:rPr>
      </w:pPr>
    </w:p>
    <w:p>
      <w:pPr>
        <w:keepNext w:val="0"/>
        <w:keepLines w:val="0"/>
        <w:pageBreakBefore w:val="0"/>
        <w:widowControl w:val="0"/>
        <w:kinsoku/>
        <w:wordWrap/>
        <w:overflowPunct/>
        <w:topLinePunct w:val="0"/>
        <w:autoSpaceDE/>
        <w:autoSpaceDN/>
        <w:bidi w:val="0"/>
        <w:adjustRightInd/>
        <w:snapToGrid/>
        <w:spacing w:line="590" w:lineRule="exact"/>
        <w:ind w:left="0" w:leftChars="0" w:firstLine="0" w:firstLineChars="0"/>
        <w:jc w:val="left"/>
        <w:textAlignment w:val="auto"/>
        <w:rPr>
          <w:rFonts w:hint="default" w:ascii="Times New Roman" w:hAnsi="Times New Roman" w:eastAsia="方正小标宋简体" w:cs="Times New Roman"/>
          <w:sz w:val="44"/>
          <w:szCs w:val="44"/>
          <w:lang w:eastAsia="zh-CN"/>
        </w:rPr>
      </w:pPr>
    </w:p>
    <w:p>
      <w:pPr>
        <w:keepNext w:val="0"/>
        <w:keepLines w:val="0"/>
        <w:pageBreakBefore w:val="0"/>
        <w:widowControl w:val="0"/>
        <w:kinsoku/>
        <w:wordWrap/>
        <w:overflowPunct/>
        <w:topLinePunct w:val="0"/>
        <w:autoSpaceDE/>
        <w:autoSpaceDN/>
        <w:bidi w:val="0"/>
        <w:adjustRightInd/>
        <w:snapToGrid/>
        <w:spacing w:line="590" w:lineRule="exact"/>
        <w:ind w:left="0" w:leftChars="0" w:firstLine="0" w:firstLineChars="0"/>
        <w:jc w:val="left"/>
        <w:textAlignment w:val="auto"/>
        <w:rPr>
          <w:rFonts w:hint="default" w:ascii="Times New Roman" w:hAnsi="Times New Roman" w:eastAsia="方正小标宋_GBK" w:cs="Times New Roman"/>
          <w:sz w:val="44"/>
          <w:szCs w:val="44"/>
          <w:lang w:eastAsia="zh-CN"/>
        </w:rPr>
      </w:pPr>
    </w:p>
    <w:p>
      <w:pPr>
        <w:keepNext w:val="0"/>
        <w:keepLines w:val="0"/>
        <w:pageBreakBefore w:val="0"/>
        <w:widowControl w:val="0"/>
        <w:kinsoku/>
        <w:wordWrap/>
        <w:overflowPunct/>
        <w:topLinePunct w:val="0"/>
        <w:autoSpaceDE/>
        <w:autoSpaceDN/>
        <w:bidi w:val="0"/>
        <w:adjustRightInd/>
        <w:snapToGrid/>
        <w:spacing w:line="590" w:lineRule="exact"/>
        <w:ind w:left="0" w:leftChars="0" w:firstLine="0" w:firstLineChars="0"/>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lang w:eastAsia="zh-CN"/>
        </w:rPr>
        <w:t>芜湖市</w:t>
      </w:r>
      <w:r>
        <w:rPr>
          <w:rFonts w:hint="default" w:ascii="Times New Roman" w:hAnsi="Times New Roman" w:eastAsia="方正小标宋_GBK" w:cs="Times New Roman"/>
          <w:sz w:val="44"/>
          <w:szCs w:val="44"/>
        </w:rPr>
        <w:t>基本医疗保险定点医药机构准入退出</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0" w:firstLineChars="0"/>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管理暂行办法</w:t>
      </w:r>
    </w:p>
    <w:p>
      <w:pPr>
        <w:keepNext w:val="0"/>
        <w:keepLines w:val="0"/>
        <w:pageBreakBefore w:val="0"/>
        <w:widowControl w:val="0"/>
        <w:kinsoku/>
        <w:wordWrap/>
        <w:overflowPunct/>
        <w:topLinePunct w:val="0"/>
        <w:autoSpaceDE/>
        <w:autoSpaceDN/>
        <w:bidi w:val="0"/>
        <w:adjustRightInd/>
        <w:snapToGrid/>
        <w:spacing w:line="590" w:lineRule="exact"/>
        <w:jc w:val="left"/>
        <w:textAlignment w:val="auto"/>
        <w:rPr>
          <w:rFonts w:hint="default" w:ascii="Times New Roman" w:hAnsi="Times New Roman" w:eastAsia="仿宋_GB2312" w:cs="Times New Roman"/>
        </w:rPr>
      </w:pPr>
    </w:p>
    <w:p>
      <w:pPr>
        <w:keepNext w:val="0"/>
        <w:keepLines w:val="0"/>
        <w:pageBreakBefore w:val="0"/>
        <w:widowControl w:val="0"/>
        <w:kinsoku/>
        <w:wordWrap/>
        <w:overflowPunct/>
        <w:topLinePunct w:val="0"/>
        <w:autoSpaceDE/>
        <w:autoSpaceDN/>
        <w:bidi w:val="0"/>
        <w:adjustRightInd/>
        <w:snapToGrid/>
        <w:spacing w:line="590" w:lineRule="exact"/>
        <w:ind w:left="0" w:leftChars="0" w:firstLine="0" w:firstLineChars="0"/>
        <w:jc w:val="center"/>
        <w:textAlignment w:val="auto"/>
        <w:rPr>
          <w:rFonts w:hint="default" w:ascii="Times New Roman" w:hAnsi="Times New Roman" w:eastAsia="方正黑体_GBK" w:cs="Times New Roman"/>
        </w:rPr>
      </w:pPr>
      <w:r>
        <w:rPr>
          <w:rFonts w:hint="default" w:ascii="Times New Roman" w:hAnsi="Times New Roman" w:eastAsia="方正黑体_GBK" w:cs="Times New Roman"/>
        </w:rPr>
        <w:t>第一章 总 则</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方正仿宋_GBK" w:cs="Times New Roman"/>
        </w:rPr>
      </w:pPr>
      <w:bookmarkStart w:id="0" w:name="_GoBack"/>
      <w:r>
        <w:rPr>
          <w:rFonts w:hint="eastAsia" w:ascii="方正黑体_GBK" w:hAnsi="方正黑体_GBK" w:eastAsia="方正黑体_GBK" w:cs="方正黑体_GBK"/>
        </w:rPr>
        <w:t>第一条</w:t>
      </w:r>
      <w:r>
        <w:rPr>
          <w:rFonts w:hint="default" w:ascii="Times New Roman" w:hAnsi="Times New Roman" w:eastAsia="方正仿宋_GBK" w:cs="Times New Roman"/>
        </w:rPr>
        <w:t xml:space="preserve"> 为加强和规范基本医疗保险定点医药机构协议管理，提高医疗保障基金使用效率，保障参保人员合法权益，根据《医疗机构医疗保障定点管理暂行办法》（国家医疗保障局令第2号）、《零售药店医疗保障定点管理暂行办法》（国家医疗保障局令第3号）</w:t>
      </w:r>
      <w:r>
        <w:rPr>
          <w:rFonts w:hint="default" w:ascii="Times New Roman" w:hAnsi="Times New Roman" w:eastAsia="方正仿宋_GBK" w:cs="Times New Roman"/>
          <w:lang w:eastAsia="zh-CN"/>
        </w:rPr>
        <w:t>、《安徽省医疗保障局办公室关于贯彻落实</w:t>
      </w:r>
      <w:r>
        <w:rPr>
          <w:rFonts w:hint="default" w:ascii="Times New Roman" w:hAnsi="Times New Roman" w:eastAsia="方正仿宋_GBK" w:cs="Times New Roman"/>
          <w:lang w:val="en-US" w:eastAsia="zh-CN"/>
        </w:rPr>
        <w:t>〈</w:t>
      </w:r>
      <w:r>
        <w:rPr>
          <w:rFonts w:hint="default" w:ascii="Times New Roman" w:hAnsi="Times New Roman" w:eastAsia="方正仿宋_GBK" w:cs="Times New Roman"/>
          <w:lang w:eastAsia="zh-CN"/>
        </w:rPr>
        <w:t>医疗机构医疗保障定点管理暂行办法</w:t>
      </w:r>
      <w:r>
        <w:rPr>
          <w:rFonts w:hint="default" w:ascii="Times New Roman" w:hAnsi="Times New Roman" w:eastAsia="方正仿宋_GBK" w:cs="Times New Roman"/>
          <w:lang w:val="en-US" w:eastAsia="zh-CN"/>
        </w:rPr>
        <w:t>〉〈</w:t>
      </w:r>
      <w:r>
        <w:rPr>
          <w:rFonts w:hint="default" w:ascii="Times New Roman" w:hAnsi="Times New Roman" w:eastAsia="方正仿宋_GBK" w:cs="Times New Roman"/>
          <w:lang w:eastAsia="zh-CN"/>
        </w:rPr>
        <w:t>零售药店医疗保障定点管理暂行办法</w:t>
      </w:r>
      <w:r>
        <w:rPr>
          <w:rFonts w:hint="default" w:ascii="Times New Roman" w:hAnsi="Times New Roman" w:eastAsia="方正仿宋_GBK" w:cs="Times New Roman"/>
          <w:lang w:val="en-US" w:eastAsia="zh-CN"/>
        </w:rPr>
        <w:t>〉</w:t>
      </w:r>
      <w:r>
        <w:rPr>
          <w:rFonts w:hint="default" w:ascii="Times New Roman" w:hAnsi="Times New Roman" w:eastAsia="方正仿宋_GBK" w:cs="Times New Roman"/>
          <w:lang w:eastAsia="zh-CN"/>
        </w:rPr>
        <w:t>的通知》（皖医保办〔2021〕9号）以及《关于印发芜湖市医疗保障定点医药机构资源配置规划(2026-2028年)的通知》（</w:t>
      </w:r>
      <w:r>
        <w:rPr>
          <w:rFonts w:hint="default" w:ascii="Times New Roman" w:hAnsi="Times New Roman" w:eastAsia="方正仿宋_GBK" w:cs="Times New Roman"/>
          <w:lang w:val="en-US" w:eastAsia="zh-CN"/>
        </w:rPr>
        <w:t>芜医保</w:t>
      </w:r>
      <w:r>
        <w:rPr>
          <w:rFonts w:hint="default" w:ascii="Times New Roman" w:hAnsi="Times New Roman" w:eastAsia="方正仿宋_GBK" w:cs="Times New Roman"/>
          <w:lang w:eastAsia="zh-CN"/>
        </w:rPr>
        <w:t>〔202</w:t>
      </w:r>
      <w:r>
        <w:rPr>
          <w:rFonts w:hint="default" w:ascii="Times New Roman" w:hAnsi="Times New Roman" w:eastAsia="方正仿宋_GBK" w:cs="Times New Roman"/>
          <w:lang w:val="en-US" w:eastAsia="zh-CN"/>
        </w:rPr>
        <w:t>6</w:t>
      </w:r>
      <w:r>
        <w:rPr>
          <w:rFonts w:hint="default" w:ascii="Times New Roman" w:hAnsi="Times New Roman" w:eastAsia="方正仿宋_GBK" w:cs="Times New Roman"/>
          <w:lang w:eastAsia="zh-CN"/>
        </w:rPr>
        <w:t>〕</w:t>
      </w:r>
      <w:r>
        <w:rPr>
          <w:rFonts w:hint="default" w:ascii="Times New Roman" w:hAnsi="Times New Roman" w:eastAsia="方正仿宋_GBK" w:cs="Times New Roman"/>
          <w:lang w:val="en-US" w:eastAsia="zh-CN"/>
        </w:rPr>
        <w:t>13</w:t>
      </w:r>
      <w:r>
        <w:rPr>
          <w:rFonts w:hint="default" w:ascii="Times New Roman" w:hAnsi="Times New Roman" w:eastAsia="方正仿宋_GBK" w:cs="Times New Roman"/>
          <w:lang w:eastAsia="zh-CN"/>
        </w:rPr>
        <w:t>号）等</w:t>
      </w:r>
      <w:r>
        <w:rPr>
          <w:rFonts w:hint="default" w:ascii="Times New Roman" w:hAnsi="Times New Roman" w:eastAsia="方正仿宋_GBK" w:cs="Times New Roman"/>
          <w:lang w:val="en-US" w:eastAsia="zh-CN"/>
        </w:rPr>
        <w:t>相关规定</w:t>
      </w:r>
      <w:r>
        <w:rPr>
          <w:rFonts w:hint="default" w:ascii="Times New Roman" w:hAnsi="Times New Roman" w:eastAsia="方正仿宋_GBK" w:cs="Times New Roman"/>
        </w:rPr>
        <w:t>，</w:t>
      </w:r>
      <w:r>
        <w:rPr>
          <w:rFonts w:hint="default" w:ascii="Times New Roman" w:hAnsi="Times New Roman" w:eastAsia="方正仿宋_GBK" w:cs="Times New Roman"/>
          <w:lang w:val="en-US" w:eastAsia="zh-CN"/>
        </w:rPr>
        <w:t>结合我市工作实际</w:t>
      </w:r>
      <w:r>
        <w:rPr>
          <w:rFonts w:hint="default" w:ascii="Times New Roman" w:hAnsi="Times New Roman" w:eastAsia="方正仿宋_GBK" w:cs="Times New Roman"/>
        </w:rPr>
        <w:t>，制定本办法。</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方正仿宋_GBK" w:cs="Times New Roman"/>
        </w:rPr>
      </w:pPr>
      <w:r>
        <w:rPr>
          <w:rFonts w:hint="eastAsia" w:ascii="方正黑体_GBK" w:hAnsi="方正黑体_GBK" w:eastAsia="方正黑体_GBK" w:cs="方正黑体_GBK"/>
        </w:rPr>
        <w:t>第二条</w:t>
      </w:r>
      <w:r>
        <w:rPr>
          <w:rFonts w:hint="default" w:ascii="Times New Roman" w:hAnsi="Times New Roman" w:eastAsia="方正仿宋_GBK" w:cs="Times New Roman"/>
        </w:rPr>
        <w:t xml:space="preserve"> 本市行政区域内职工基本医疗保险和城乡居民基本医疗保险定点医药机构的申请、评估、协议签订、协议管理、考核监督以及退出等活动，适用本办法。</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方正仿宋_GBK" w:cs="Times New Roman"/>
        </w:rPr>
      </w:pPr>
      <w:r>
        <w:rPr>
          <w:rFonts w:hint="eastAsia" w:ascii="方正黑体_GBK" w:hAnsi="方正黑体_GBK" w:eastAsia="方正黑体_GBK" w:cs="方正黑体_GBK"/>
        </w:rPr>
        <w:t>第三条</w:t>
      </w:r>
      <w:r>
        <w:rPr>
          <w:rFonts w:hint="default" w:ascii="Times New Roman" w:hAnsi="Times New Roman" w:eastAsia="方正楷体_GBK" w:cs="Times New Roman"/>
        </w:rPr>
        <w:t xml:space="preserve"> </w:t>
      </w:r>
      <w:r>
        <w:rPr>
          <w:rFonts w:hint="default" w:ascii="Times New Roman" w:hAnsi="Times New Roman" w:eastAsia="方正仿宋_GBK" w:cs="Times New Roman"/>
        </w:rPr>
        <w:t>本办法所称定点医药机构，是指自愿与本市医疗保障经办机构（以下简称“经办机构”）签订医疗保障服务协议（以下简称“医保协议”），为参保人员提供医疗或药品服务的医疗机构和</w:t>
      </w:r>
      <w:r>
        <w:rPr>
          <w:rFonts w:hint="default" w:ascii="Times New Roman" w:hAnsi="Times New Roman" w:eastAsia="方正仿宋_GBK" w:cs="Times New Roman"/>
          <w:lang w:val="en-US" w:eastAsia="zh-CN"/>
        </w:rPr>
        <w:t>实体</w:t>
      </w:r>
      <w:r>
        <w:rPr>
          <w:rFonts w:hint="default" w:ascii="Times New Roman" w:hAnsi="Times New Roman" w:eastAsia="方正仿宋_GBK" w:cs="Times New Roman"/>
        </w:rPr>
        <w:t>零售药店。</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方正仿宋_GBK" w:cs="Times New Roman"/>
        </w:rPr>
      </w:pPr>
      <w:r>
        <w:rPr>
          <w:rFonts w:hint="eastAsia" w:ascii="方正黑体_GBK" w:hAnsi="方正黑体_GBK" w:eastAsia="方正黑体_GBK" w:cs="方正黑体_GBK"/>
        </w:rPr>
        <w:t>第四条</w:t>
      </w:r>
      <w:r>
        <w:rPr>
          <w:rFonts w:hint="default" w:ascii="Times New Roman" w:hAnsi="Times New Roman" w:eastAsia="方正仿宋_GBK" w:cs="Times New Roman"/>
        </w:rPr>
        <w:t xml:space="preserve"> 定点医药机构的确定和管理遵循“公开透明、公平公正、保障基本、择优定点、动态管理”的原则。</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0" w:firstLineChars="0"/>
        <w:jc w:val="center"/>
        <w:textAlignment w:val="auto"/>
        <w:rPr>
          <w:rFonts w:hint="default" w:ascii="Times New Roman" w:hAnsi="Times New Roman" w:eastAsia="方正黑体_GBK" w:cs="Times New Roman"/>
        </w:rPr>
      </w:pPr>
      <w:r>
        <w:rPr>
          <w:rFonts w:hint="default" w:ascii="Times New Roman" w:hAnsi="Times New Roman" w:eastAsia="方正黑体_GBK" w:cs="Times New Roman"/>
        </w:rPr>
        <w:t>第二章 申请条件</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方正仿宋_GBK" w:cs="Times New Roman"/>
          <w:lang w:val="en-US" w:eastAsia="zh-CN"/>
        </w:rPr>
      </w:pPr>
      <w:r>
        <w:rPr>
          <w:rFonts w:hint="eastAsia" w:ascii="方正黑体_GBK" w:hAnsi="方正黑体_GBK" w:eastAsia="方正黑体_GBK" w:cs="方正黑体_GBK"/>
        </w:rPr>
        <w:t>第五条</w:t>
      </w:r>
      <w:r>
        <w:rPr>
          <w:rFonts w:hint="default" w:ascii="Times New Roman" w:hAnsi="Times New Roman" w:eastAsia="方正仿宋_GBK" w:cs="Times New Roman"/>
        </w:rPr>
        <w:t xml:space="preserve"> </w:t>
      </w:r>
      <w:r>
        <w:rPr>
          <w:rFonts w:hint="default" w:ascii="Times New Roman" w:hAnsi="Times New Roman" w:eastAsia="方正仿宋_GBK" w:cs="Times New Roman"/>
          <w:lang w:val="en-US" w:eastAsia="en-US"/>
        </w:rPr>
        <w:t>依法设立并正式运营的各类医药机构，可根据自身服务能力，结合</w:t>
      </w:r>
      <w:r>
        <w:rPr>
          <w:rFonts w:hint="default" w:ascii="Times New Roman" w:hAnsi="Times New Roman" w:eastAsia="方正仿宋_GBK" w:cs="Times New Roman"/>
          <w:lang w:val="en-US" w:eastAsia="zh-CN"/>
        </w:rPr>
        <w:t>本市定点医药机构资源配置规划和年度配置计划</w:t>
      </w:r>
      <w:r>
        <w:rPr>
          <w:rFonts w:hint="default" w:ascii="Times New Roman" w:hAnsi="Times New Roman" w:eastAsia="方正仿宋_GBK" w:cs="Times New Roman"/>
          <w:lang w:val="en-US" w:eastAsia="en-US"/>
        </w:rPr>
        <w:t>，自愿向经营场</w:t>
      </w:r>
      <w:r>
        <w:rPr>
          <w:rFonts w:hint="default" w:ascii="Times New Roman" w:hAnsi="Times New Roman" w:eastAsia="方正仿宋_GBK" w:cs="Times New Roman"/>
          <w:color w:val="auto"/>
          <w:lang w:val="en-US" w:eastAsia="en-US"/>
        </w:rPr>
        <w:t>所所在地的经办机构申请医疗保障定点。</w:t>
      </w:r>
      <w:r>
        <w:rPr>
          <w:rFonts w:hint="default" w:ascii="Times New Roman" w:hAnsi="Times New Roman" w:eastAsia="方正仿宋_GBK" w:cs="Times New Roman"/>
          <w:color w:val="auto"/>
          <w:lang w:val="en-US" w:eastAsia="zh-CN"/>
        </w:rPr>
        <w:t>其中由市级卫生健康部门提级审批通</w:t>
      </w:r>
      <w:r>
        <w:rPr>
          <w:rFonts w:hint="default" w:ascii="Times New Roman" w:hAnsi="Times New Roman" w:eastAsia="方正仿宋_GBK" w:cs="Times New Roman"/>
          <w:lang w:val="en-US" w:eastAsia="zh-CN"/>
        </w:rPr>
        <w:t>过的新增医疗机构，其医疗保障定点准入申请认定同步履行提级审议流程，需向市级经办机构申请医疗保障定点，经专家评审通过后，交由市医保联席会议研定。</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方正仿宋_GBK" w:cs="Times New Roman"/>
          <w:color w:val="auto"/>
          <w:lang w:val="en-US" w:eastAsia="en-US"/>
        </w:rPr>
      </w:pPr>
      <w:r>
        <w:rPr>
          <w:rFonts w:hint="eastAsia" w:ascii="方正黑体_GBK" w:hAnsi="方正黑体_GBK" w:eastAsia="方正黑体_GBK" w:cs="方正黑体_GBK"/>
        </w:rPr>
        <w:t>第</w:t>
      </w:r>
      <w:r>
        <w:rPr>
          <w:rFonts w:hint="eastAsia" w:ascii="方正黑体_GBK" w:hAnsi="方正黑体_GBK" w:eastAsia="方正黑体_GBK" w:cs="方正黑体_GBK"/>
          <w:lang w:val="en-US" w:eastAsia="zh-CN"/>
        </w:rPr>
        <w:t>六</w:t>
      </w:r>
      <w:r>
        <w:rPr>
          <w:rFonts w:hint="eastAsia" w:ascii="方正黑体_GBK" w:hAnsi="方正黑体_GBK" w:eastAsia="方正黑体_GBK" w:cs="方正黑体_GBK"/>
        </w:rPr>
        <w:t>条</w:t>
      </w:r>
      <w:r>
        <w:rPr>
          <w:rFonts w:hint="default" w:ascii="Times New Roman" w:hAnsi="Times New Roman" w:eastAsia="方正仿宋_GBK" w:cs="Times New Roman"/>
        </w:rPr>
        <w:t xml:space="preserve"> </w:t>
      </w:r>
      <w:r>
        <w:rPr>
          <w:rFonts w:hint="default" w:ascii="Times New Roman" w:hAnsi="Times New Roman" w:eastAsia="方正仿宋_GBK" w:cs="Times New Roman"/>
          <w:color w:val="auto"/>
          <w:lang w:val="en-US" w:eastAsia="en-US"/>
        </w:rPr>
        <w:t>医疗机构</w:t>
      </w:r>
      <w:r>
        <w:rPr>
          <w:rFonts w:hint="default" w:ascii="Times New Roman" w:hAnsi="Times New Roman" w:eastAsia="方正仿宋_GBK" w:cs="Times New Roman"/>
          <w:color w:val="auto"/>
          <w:lang w:val="en-US" w:eastAsia="zh-CN"/>
        </w:rPr>
        <w:t>（分为门诊和住院两类）</w:t>
      </w:r>
      <w:r>
        <w:rPr>
          <w:rFonts w:hint="default" w:ascii="Times New Roman" w:hAnsi="Times New Roman" w:eastAsia="方正仿宋_GBK" w:cs="Times New Roman"/>
          <w:color w:val="auto"/>
          <w:lang w:val="en-US" w:eastAsia="en-US"/>
        </w:rPr>
        <w:t>申请</w:t>
      </w:r>
      <w:r>
        <w:rPr>
          <w:rFonts w:hint="default" w:ascii="Times New Roman" w:hAnsi="Times New Roman" w:eastAsia="方正仿宋_GBK" w:cs="Times New Roman"/>
          <w:color w:val="auto"/>
          <w:lang w:val="en-US" w:eastAsia="zh-CN"/>
        </w:rPr>
        <w:t>医疗保障定点</w:t>
      </w:r>
      <w:r>
        <w:rPr>
          <w:rFonts w:hint="default" w:ascii="Times New Roman" w:hAnsi="Times New Roman" w:eastAsia="方正仿宋_GBK" w:cs="Times New Roman"/>
          <w:color w:val="auto"/>
          <w:lang w:val="en-US" w:eastAsia="en-US"/>
        </w:rPr>
        <w:t>，应当同时具备以下基本条件：</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方正仿宋_GBK" w:cs="Times New Roman"/>
          <w:color w:val="auto"/>
          <w:lang w:val="en-US" w:eastAsia="en-US"/>
        </w:rPr>
      </w:pPr>
      <w:r>
        <w:rPr>
          <w:rFonts w:hint="default" w:ascii="Times New Roman" w:hAnsi="Times New Roman" w:eastAsia="方正仿宋_GBK" w:cs="Times New Roman"/>
          <w:color w:val="auto"/>
          <w:lang w:val="en-US" w:eastAsia="en-US"/>
        </w:rPr>
        <w:t>（一）经卫生健康行政部门批准并取得《医疗机构执业许可证》或</w:t>
      </w:r>
      <w:r>
        <w:rPr>
          <w:rFonts w:hint="default" w:ascii="Times New Roman" w:hAnsi="Times New Roman" w:eastAsia="方正仿宋_GBK" w:cs="Times New Roman"/>
          <w:color w:val="auto"/>
          <w:lang w:val="en-US" w:eastAsia="zh-CN"/>
        </w:rPr>
        <w:t>《</w:t>
      </w:r>
      <w:r>
        <w:rPr>
          <w:rFonts w:hint="default" w:ascii="Times New Roman" w:hAnsi="Times New Roman" w:eastAsia="方正仿宋_GBK" w:cs="Times New Roman"/>
          <w:color w:val="auto"/>
          <w:lang w:val="en-US" w:eastAsia="en-US"/>
        </w:rPr>
        <w:t>中医诊所备案证</w:t>
      </w:r>
      <w:r>
        <w:rPr>
          <w:rFonts w:hint="default" w:ascii="Times New Roman" w:hAnsi="Times New Roman" w:eastAsia="方正仿宋_GBK" w:cs="Times New Roman"/>
          <w:color w:val="auto"/>
          <w:lang w:val="en-US" w:eastAsia="zh-CN"/>
        </w:rPr>
        <w:t>》</w:t>
      </w:r>
      <w:r>
        <w:rPr>
          <w:rFonts w:hint="default" w:ascii="Times New Roman" w:hAnsi="Times New Roman" w:eastAsia="方正仿宋_GBK" w:cs="Times New Roman"/>
          <w:color w:val="auto"/>
          <w:lang w:val="en-US" w:eastAsia="en-US"/>
        </w:rPr>
        <w:t>，或者经军队主管部门批准有为民服务资质；</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方正仿宋_GBK" w:cs="Times New Roman"/>
          <w:color w:val="auto"/>
          <w:lang w:val="en-US" w:eastAsia="en-US"/>
        </w:rPr>
      </w:pPr>
      <w:r>
        <w:rPr>
          <w:rFonts w:hint="default" w:ascii="Times New Roman" w:hAnsi="Times New Roman" w:eastAsia="方正仿宋_GBK" w:cs="Times New Roman"/>
          <w:color w:val="auto"/>
          <w:lang w:val="en-US" w:eastAsia="en-US"/>
        </w:rPr>
        <w:t>（二）正式运营</w:t>
      </w:r>
      <w:r>
        <w:rPr>
          <w:rFonts w:hint="default" w:ascii="Times New Roman" w:hAnsi="Times New Roman" w:eastAsia="方正仿宋_GBK" w:cs="Times New Roman"/>
          <w:color w:val="auto"/>
          <w:lang w:val="en-US" w:eastAsia="zh-CN"/>
        </w:rPr>
        <w:t>不少于</w:t>
      </w:r>
      <w:r>
        <w:rPr>
          <w:rFonts w:hint="default" w:ascii="Times New Roman" w:hAnsi="Times New Roman" w:eastAsia="方正仿宋_GBK" w:cs="Times New Roman"/>
          <w:color w:val="auto"/>
          <w:lang w:val="en-US" w:eastAsia="en-US"/>
        </w:rPr>
        <w:t>3个月；</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方正仿宋_GBK" w:cs="Times New Roman"/>
          <w:color w:val="auto"/>
          <w:lang w:val="en-US" w:eastAsia="en-US"/>
        </w:rPr>
      </w:pPr>
      <w:r>
        <w:rPr>
          <w:rFonts w:hint="default" w:ascii="Times New Roman" w:hAnsi="Times New Roman" w:eastAsia="方正仿宋_GBK" w:cs="Times New Roman"/>
          <w:color w:val="auto"/>
          <w:lang w:val="en-US" w:eastAsia="en-US"/>
        </w:rPr>
        <w:t>（三）至少有1名取得医师执业证书、乡村医生执业证书或中医（专长）医师资格证书且第一注册地在该医疗机构的医师；</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方正仿宋_GBK" w:cs="Times New Roman"/>
          <w:color w:val="auto"/>
          <w:lang w:val="en-US" w:eastAsia="en-US"/>
        </w:rPr>
      </w:pPr>
      <w:r>
        <w:rPr>
          <w:rFonts w:hint="default" w:ascii="Times New Roman" w:hAnsi="Times New Roman" w:eastAsia="方正仿宋_GBK" w:cs="Times New Roman"/>
          <w:color w:val="auto"/>
          <w:lang w:val="en-US" w:eastAsia="en-US"/>
        </w:rPr>
        <w:t>（四）主要负责人负责医保工作</w:t>
      </w:r>
      <w:r>
        <w:rPr>
          <w:rFonts w:hint="default" w:ascii="Times New Roman" w:hAnsi="Times New Roman" w:eastAsia="方正仿宋_GBK" w:cs="Times New Roman"/>
          <w:color w:val="auto"/>
          <w:lang w:val="en-US" w:eastAsia="zh-CN"/>
        </w:rPr>
        <w:t>，配备</w:t>
      </w:r>
      <w:r>
        <w:rPr>
          <w:rFonts w:hint="default" w:ascii="Times New Roman" w:hAnsi="Times New Roman" w:eastAsia="方正仿宋_GBK" w:cs="Times New Roman"/>
          <w:color w:val="auto"/>
          <w:lang w:val="en-US" w:eastAsia="en-US"/>
        </w:rPr>
        <w:t>专（兼）职</w:t>
      </w:r>
      <w:r>
        <w:rPr>
          <w:rFonts w:hint="default" w:ascii="Times New Roman" w:hAnsi="Times New Roman" w:eastAsia="方正仿宋_GBK" w:cs="Times New Roman"/>
          <w:color w:val="auto"/>
          <w:lang w:val="en-US" w:eastAsia="zh-CN"/>
        </w:rPr>
        <w:t>医保</w:t>
      </w:r>
      <w:r>
        <w:rPr>
          <w:rFonts w:hint="default" w:ascii="Times New Roman" w:hAnsi="Times New Roman" w:eastAsia="方正仿宋_GBK" w:cs="Times New Roman"/>
          <w:color w:val="auto"/>
          <w:lang w:val="en-US" w:eastAsia="en-US"/>
        </w:rPr>
        <w:t>管理人员；100张床位以上的医疗机构应设内部医保管理部门，安排专职工作人员；</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方正仿宋_GBK" w:cs="Times New Roman"/>
        </w:rPr>
      </w:pPr>
      <w:r>
        <w:rPr>
          <w:rFonts w:hint="default" w:ascii="Times New Roman" w:hAnsi="Times New Roman" w:eastAsia="方正仿宋_GBK" w:cs="Times New Roman"/>
        </w:rPr>
        <w:t>（五）具有合法的房屋产权或使用权，执业场所稳定，</w:t>
      </w:r>
      <w:r>
        <w:rPr>
          <w:rFonts w:hint="default" w:ascii="Times New Roman" w:hAnsi="Times New Roman" w:eastAsia="方正仿宋_GBK" w:cs="Times New Roman"/>
          <w:lang w:val="en-US" w:eastAsia="zh-CN"/>
        </w:rPr>
        <w:t>且</w:t>
      </w:r>
      <w:r>
        <w:rPr>
          <w:rFonts w:hint="default" w:ascii="Times New Roman" w:hAnsi="Times New Roman" w:eastAsia="方正仿宋_GBK" w:cs="Times New Roman"/>
          <w:lang w:eastAsia="zh-CN"/>
        </w:rPr>
        <w:t>在</w:t>
      </w:r>
      <w:r>
        <w:rPr>
          <w:rFonts w:hint="default" w:ascii="Times New Roman" w:hAnsi="Times New Roman" w:eastAsia="方正仿宋_GBK" w:cs="Times New Roman"/>
        </w:rPr>
        <w:t>显著位置公布投诉举报电话；</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方正仿宋_GBK" w:cs="Times New Roman"/>
        </w:rPr>
      </w:pPr>
      <w:r>
        <w:rPr>
          <w:rFonts w:hint="default" w:ascii="Times New Roman" w:hAnsi="Times New Roman" w:eastAsia="方正仿宋_GBK" w:cs="Times New Roman"/>
        </w:rPr>
        <w:t>（六）有符合医保协议管理要求的且与医疗保险政策相适应的医保管理制度、统计信息管理制度、医疗质量安全核心制度；</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方正仿宋_GBK" w:cs="Times New Roman"/>
        </w:rPr>
      </w:pPr>
      <w:r>
        <w:rPr>
          <w:rFonts w:hint="default" w:ascii="Times New Roman" w:hAnsi="Times New Roman" w:eastAsia="方正仿宋_GBK" w:cs="Times New Roman"/>
        </w:rPr>
        <w:t>（七）财务管理制度健全，会计凭证、账簿及财务报表符合国家相关规定，配备专（兼）职财务管理人员；</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方正仿宋_GBK" w:cs="Times New Roman"/>
        </w:rPr>
      </w:pPr>
      <w:r>
        <w:rPr>
          <w:rFonts w:hint="default" w:ascii="Times New Roman" w:hAnsi="Times New Roman" w:eastAsia="方正仿宋_GBK" w:cs="Times New Roman"/>
        </w:rPr>
        <w:t>（八）配备并正常使用符合医疗保障管理要求的药品、医用耗材等“进、销、存”管理系统，确保药品、耗材使用全程可追溯；</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方正仿宋_GBK" w:cs="Times New Roman"/>
          <w:lang w:eastAsia="zh-CN"/>
        </w:rPr>
      </w:pPr>
      <w:r>
        <w:rPr>
          <w:rFonts w:hint="default" w:ascii="Times New Roman" w:hAnsi="Times New Roman" w:eastAsia="方正仿宋_GBK" w:cs="Times New Roman"/>
        </w:rPr>
        <w:t>（九）配备、使用符合医疗保险联网结算和智能监控要求的计算机管理系统，有相应的操作和管理人员；可按要求实现信息系统与医保系统完全直接对接、联网并实时上传医疗保险服务相关原始数据，并保证上传数据的真实性和完整性。具备建立医保药品、诊疗项目、医疗服务设施、医用耗材、疾病病种等基础数据库及按规定使用国家统一的医保编码的条件</w:t>
      </w:r>
      <w:r>
        <w:rPr>
          <w:rFonts w:hint="default" w:ascii="Times New Roman" w:hAnsi="Times New Roman" w:eastAsia="方正仿宋_GBK" w:cs="Times New Roman"/>
          <w:lang w:eastAsia="zh-CN"/>
        </w:rPr>
        <w:t>；</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方正仿宋_GBK" w:cs="Times New Roman"/>
        </w:rPr>
      </w:pPr>
      <w:r>
        <w:rPr>
          <w:rFonts w:hint="default" w:ascii="Times New Roman" w:hAnsi="Times New Roman" w:eastAsia="方正仿宋_GBK" w:cs="Times New Roman"/>
        </w:rPr>
        <w:t>（十）依法与本单位工作人员建立劳动关系，并按规定缴纳各项社会保险费；</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方正仿宋_GBK" w:cs="Times New Roman"/>
        </w:rPr>
      </w:pPr>
      <w:r>
        <w:rPr>
          <w:rFonts w:hint="default" w:ascii="Times New Roman" w:hAnsi="Times New Roman" w:eastAsia="方正仿宋_GBK" w:cs="Times New Roman"/>
        </w:rPr>
        <w:t>（十一）递交申请资料日之前一年内无相关行政主管部门的违法违规处罚记录；</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方正仿宋_GBK" w:cs="Times New Roman"/>
        </w:rPr>
      </w:pPr>
      <w:r>
        <w:rPr>
          <w:rFonts w:hint="default" w:ascii="Times New Roman" w:hAnsi="Times New Roman" w:eastAsia="方正仿宋_GBK" w:cs="Times New Roman"/>
        </w:rPr>
        <w:t>（十二）无国家</w:t>
      </w:r>
      <w:r>
        <w:rPr>
          <w:rFonts w:hint="default" w:ascii="Times New Roman" w:hAnsi="Times New Roman" w:eastAsia="方正仿宋_GBK" w:cs="Times New Roman"/>
          <w:lang w:val="en-US" w:eastAsia="zh-CN"/>
        </w:rPr>
        <w:t>及</w:t>
      </w:r>
      <w:r>
        <w:rPr>
          <w:rFonts w:hint="default" w:ascii="Times New Roman" w:hAnsi="Times New Roman" w:eastAsia="方正仿宋_GBK" w:cs="Times New Roman"/>
        </w:rPr>
        <w:t>省规定的其他不予受理定点申请的情形；</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rPr>
        <w:t>（十三）符合法律、法规以及国家和省、市医疗保障行政部门规定的其他条件。</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方正仿宋_GBK" w:cs="Times New Roman"/>
        </w:rPr>
      </w:pPr>
      <w:r>
        <w:rPr>
          <w:rFonts w:hint="eastAsia" w:ascii="方正黑体_GBK" w:hAnsi="方正黑体_GBK" w:eastAsia="方正黑体_GBK" w:cs="方正黑体_GBK"/>
        </w:rPr>
        <w:t>第</w:t>
      </w:r>
      <w:r>
        <w:rPr>
          <w:rFonts w:hint="eastAsia" w:ascii="方正黑体_GBK" w:hAnsi="方正黑体_GBK" w:eastAsia="方正黑体_GBK" w:cs="方正黑体_GBK"/>
          <w:lang w:val="en-US" w:eastAsia="zh-CN"/>
        </w:rPr>
        <w:t>七</w:t>
      </w:r>
      <w:r>
        <w:rPr>
          <w:rFonts w:hint="eastAsia" w:ascii="方正黑体_GBK" w:hAnsi="方正黑体_GBK" w:eastAsia="方正黑体_GBK" w:cs="方正黑体_GBK"/>
        </w:rPr>
        <w:t>条</w:t>
      </w:r>
      <w:r>
        <w:rPr>
          <w:rFonts w:hint="default" w:ascii="Times New Roman" w:hAnsi="Times New Roman" w:eastAsia="方正仿宋_GBK" w:cs="Times New Roman"/>
        </w:rPr>
        <w:t xml:space="preserve"> </w:t>
      </w:r>
      <w:r>
        <w:rPr>
          <w:rFonts w:hint="default" w:ascii="Times New Roman" w:hAnsi="Times New Roman" w:eastAsia="方正仿宋_GBK" w:cs="Times New Roman"/>
          <w:lang w:val="en-US" w:eastAsia="zh-CN"/>
        </w:rPr>
        <w:t>零售药店</w:t>
      </w:r>
      <w:r>
        <w:rPr>
          <w:rFonts w:hint="default" w:ascii="Times New Roman" w:hAnsi="Times New Roman" w:eastAsia="方正仿宋_GBK" w:cs="Times New Roman"/>
        </w:rPr>
        <w:t>申请</w:t>
      </w:r>
      <w:r>
        <w:rPr>
          <w:rFonts w:hint="default" w:ascii="Times New Roman" w:hAnsi="Times New Roman" w:eastAsia="方正仿宋_GBK" w:cs="Times New Roman"/>
          <w:lang w:val="en-US" w:eastAsia="zh-CN"/>
        </w:rPr>
        <w:t>医疗保障定点</w:t>
      </w:r>
      <w:r>
        <w:rPr>
          <w:rFonts w:hint="default" w:ascii="Times New Roman" w:hAnsi="Times New Roman" w:eastAsia="方正仿宋_GBK" w:cs="Times New Roman"/>
        </w:rPr>
        <w:t>，应当同时具备以下基本条件：</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方正仿宋_GBK" w:cs="Times New Roman"/>
        </w:rPr>
      </w:pPr>
      <w:r>
        <w:rPr>
          <w:rFonts w:hint="default" w:ascii="Times New Roman" w:hAnsi="Times New Roman" w:eastAsia="方正仿宋_GBK" w:cs="Times New Roman"/>
        </w:rPr>
        <w:t>（一）取得《药品经营许可证》，并在注册地址正式经营</w:t>
      </w:r>
      <w:r>
        <w:rPr>
          <w:rFonts w:hint="default" w:ascii="Times New Roman" w:hAnsi="Times New Roman" w:eastAsia="方正仿宋_GBK" w:cs="Times New Roman"/>
          <w:lang w:val="en-US" w:eastAsia="zh-CN"/>
        </w:rPr>
        <w:t>不少于</w:t>
      </w:r>
      <w:r>
        <w:rPr>
          <w:rFonts w:hint="default" w:ascii="Times New Roman" w:hAnsi="Times New Roman" w:eastAsia="方正仿宋_GBK" w:cs="Times New Roman"/>
        </w:rPr>
        <w:t>3个月；</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方正仿宋_GBK" w:cs="Times New Roman"/>
        </w:rPr>
      </w:pPr>
      <w:r>
        <w:rPr>
          <w:rFonts w:hint="default" w:ascii="Times New Roman" w:hAnsi="Times New Roman" w:eastAsia="方正仿宋_GBK" w:cs="Times New Roman"/>
        </w:rPr>
        <w:t>（二）具有合法的房屋产权或使用权，执业经营场所稳定，且</w:t>
      </w:r>
      <w:r>
        <w:rPr>
          <w:rFonts w:hint="default" w:ascii="Times New Roman" w:hAnsi="Times New Roman" w:eastAsia="方正仿宋_GBK" w:cs="Times New Roman"/>
          <w:lang w:val="en-US" w:eastAsia="zh-CN"/>
        </w:rPr>
        <w:t>在</w:t>
      </w:r>
      <w:r>
        <w:rPr>
          <w:rFonts w:hint="default" w:ascii="Times New Roman" w:hAnsi="Times New Roman" w:eastAsia="方正仿宋_GBK" w:cs="Times New Roman"/>
        </w:rPr>
        <w:t>显著位置公布投诉举报电话；</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方正仿宋_GBK" w:cs="Times New Roman"/>
        </w:rPr>
      </w:pPr>
      <w:r>
        <w:rPr>
          <w:rFonts w:hint="default" w:ascii="Times New Roman" w:hAnsi="Times New Roman" w:eastAsia="方正仿宋_GBK" w:cs="Times New Roman"/>
        </w:rPr>
        <w:t>（三）至少有1名取得执业药师资格证书或具有药学、临床药学、中药学专业技术资格证书的药师，且注册地在该零售药店所在地，药师须签订1年以上劳动合同且在合同期内；</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方正仿宋_GBK" w:cs="Times New Roman"/>
        </w:rPr>
      </w:pPr>
      <w:r>
        <w:rPr>
          <w:rFonts w:hint="default" w:ascii="Times New Roman" w:hAnsi="Times New Roman" w:eastAsia="方正仿宋_GBK" w:cs="Times New Roman"/>
        </w:rPr>
        <w:t>（四）至少有2名熟悉医疗保障法律法规和相关制度规定的专（兼）职医保管理人员，并签订1年以上劳动合同且在合同期内；</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方正仿宋_GBK" w:cs="Times New Roman"/>
        </w:rPr>
      </w:pPr>
      <w:r>
        <w:rPr>
          <w:rFonts w:hint="default" w:ascii="Times New Roman" w:hAnsi="Times New Roman" w:eastAsia="方正仿宋_GBK" w:cs="Times New Roman"/>
        </w:rPr>
        <w:t>（五）按照药品经营质量管理规范要求，开展药品分类分区管理，并对所售药品设立明确的医保用药标识；</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（六）有健全完善且与医疗保险政策相适应的医保药品管理制度</w:t>
      </w:r>
      <w:r>
        <w:rPr>
          <w:rFonts w:hint="default" w:ascii="Times New Roman" w:hAnsi="Times New Roman" w:eastAsia="方正仿宋_GBK" w:cs="Times New Roman"/>
          <w:lang w:eastAsia="zh-CN"/>
        </w:rPr>
        <w:t>、</w:t>
      </w:r>
      <w:r>
        <w:rPr>
          <w:rFonts w:hint="default" w:ascii="Times New Roman" w:hAnsi="Times New Roman" w:eastAsia="方正仿宋_GBK" w:cs="Times New Roman"/>
        </w:rPr>
        <w:t>医保人员管理制度、统计信息管理制度和医保费用结算制度等</w:t>
      </w:r>
      <w:r>
        <w:rPr>
          <w:rFonts w:hint="default" w:ascii="Times New Roman" w:hAnsi="Times New Roman" w:eastAsia="方正仿宋_GBK" w:cs="Times New Roman"/>
          <w:lang w:eastAsia="zh-CN"/>
        </w:rPr>
        <w:t>；</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（七）财务管理制度健全，会计凭证、账簿及财务报表符合国家相关规定，配备专（兼）职财务管理人员；</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（八）配备并正常使用符合医疗保障管理要求的药品“进、销、存”管理系统，能够实现“一药一码”管理，确保药品销售全程可追溯；</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九）配备、使用符合医疗保险联网结算和智能监控要求的计算机管理系统，有相应的操作和管理人员。能够按照监控管理要求，联网并实时上传医疗保险服务相关原始数据，并保证上传数据的真实性和完整性。具备建立医保药品等基础数据库及按规定使用国家统一医保编码的条件；</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（十）药品零售连锁企业的门店申请定点的，应以门店为单位提出申请；</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（十一）依法与本单位工作人员建立劳动关系，并按规定缴纳各项社会保险费；</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（十二）递交申请资料日之前一年内无相关行政主管部门的违法违规处罚记录；</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（十三）无国家、省规定的其他不予受理定点申请的情形；</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方正仿宋_GBK" w:cs="Times New Roman"/>
        </w:rPr>
      </w:pPr>
      <w:r>
        <w:rPr>
          <w:rFonts w:hint="default" w:ascii="Times New Roman" w:hAnsi="Times New Roman" w:eastAsia="方正仿宋_GBK" w:cs="Times New Roman"/>
          <w:lang w:val="en-US" w:eastAsia="zh-CN"/>
        </w:rPr>
        <w:t>（十四）符合法律、法规以及国家和省、市医疗保障行政部门规定的其他条件。</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0" w:firstLineChars="0"/>
        <w:jc w:val="center"/>
        <w:textAlignment w:val="auto"/>
        <w:rPr>
          <w:rFonts w:hint="default" w:ascii="Times New Roman" w:hAnsi="Times New Roman" w:eastAsia="方正黑体_GBK" w:cs="Times New Roman"/>
        </w:rPr>
      </w:pPr>
      <w:r>
        <w:rPr>
          <w:rFonts w:hint="default" w:ascii="Times New Roman" w:hAnsi="Times New Roman" w:eastAsia="方正黑体_GBK" w:cs="Times New Roman"/>
        </w:rPr>
        <w:t>第三章 申办程序</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方正仿宋_GBK" w:cs="Times New Roman"/>
        </w:rPr>
      </w:pPr>
      <w:r>
        <w:rPr>
          <w:rFonts w:hint="eastAsia" w:ascii="方正黑体_GBK" w:hAnsi="方正黑体_GBK" w:eastAsia="方正黑体_GBK" w:cs="方正黑体_GBK"/>
        </w:rPr>
        <w:t>第八条</w:t>
      </w:r>
      <w:r>
        <w:rPr>
          <w:rFonts w:hint="default" w:ascii="Times New Roman" w:hAnsi="Times New Roman" w:eastAsia="方正仿宋_GBK" w:cs="Times New Roman"/>
        </w:rPr>
        <w:t xml:space="preserve"> 符合申请条件的医药机构，可按照经办机构公布的受理时间和要求提交申请。</w:t>
      </w:r>
      <w:r>
        <w:rPr>
          <w:rFonts w:hint="default" w:ascii="Times New Roman" w:hAnsi="Times New Roman" w:eastAsia="方正仿宋_GBK" w:cs="Times New Roman"/>
          <w:lang w:val="en-US" w:eastAsia="zh-CN"/>
        </w:rPr>
        <w:t>根据市级经办机构发布的全市定点医药机构年度配置计划，该网格内</w:t>
      </w:r>
      <w:r>
        <w:rPr>
          <w:rFonts w:hint="default" w:ascii="Times New Roman" w:hAnsi="Times New Roman" w:eastAsia="方正仿宋_GBK" w:cs="Times New Roman"/>
        </w:rPr>
        <w:t>定点医药机构</w:t>
      </w:r>
      <w:r>
        <w:rPr>
          <w:rFonts w:hint="default" w:ascii="Times New Roman" w:hAnsi="Times New Roman" w:eastAsia="方正仿宋_GBK" w:cs="Times New Roman"/>
          <w:lang w:val="en-US" w:eastAsia="zh-CN"/>
        </w:rPr>
        <w:t>配置</w:t>
      </w:r>
      <w:r>
        <w:rPr>
          <w:rFonts w:hint="default" w:ascii="Times New Roman" w:hAnsi="Times New Roman" w:eastAsia="方正仿宋_GBK" w:cs="Times New Roman"/>
        </w:rPr>
        <w:t>无缺口时，经办机构原则上不再受理新增申请。</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方正仿宋_GBK" w:cs="Times New Roman"/>
        </w:rPr>
      </w:pPr>
      <w:r>
        <w:rPr>
          <w:rFonts w:hint="eastAsia" w:ascii="方正黑体_GBK" w:hAnsi="方正黑体_GBK" w:eastAsia="方正黑体_GBK" w:cs="方正黑体_GBK"/>
        </w:rPr>
        <w:t>第九条</w:t>
      </w:r>
      <w:r>
        <w:rPr>
          <w:rFonts w:hint="default" w:ascii="Times New Roman" w:hAnsi="Times New Roman" w:eastAsia="方正仿宋_GBK" w:cs="Times New Roman"/>
        </w:rPr>
        <w:t xml:space="preserve"> 申办程序主要包括以下环节：</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方正仿宋_GBK" w:cs="Times New Roman"/>
        </w:rPr>
      </w:pPr>
      <w:r>
        <w:rPr>
          <w:rFonts w:hint="eastAsia" w:ascii="方正楷体_GBK" w:hAnsi="方正楷体_GBK" w:eastAsia="方正楷体_GBK" w:cs="方正楷体_GBK"/>
          <w:b w:val="0"/>
          <w:bCs w:val="0"/>
        </w:rPr>
        <w:t>（一）材料提交</w:t>
      </w:r>
      <w:r>
        <w:rPr>
          <w:rFonts w:hint="eastAsia" w:ascii="方正楷体_GBK" w:hAnsi="方正楷体_GBK" w:eastAsia="方正楷体_GBK" w:cs="方正楷体_GBK"/>
          <w:b w:val="0"/>
          <w:bCs w:val="0"/>
          <w:lang w:eastAsia="zh-CN"/>
        </w:rPr>
        <w:t>。</w:t>
      </w:r>
      <w:r>
        <w:rPr>
          <w:rFonts w:hint="default" w:ascii="Times New Roman" w:hAnsi="Times New Roman" w:eastAsia="方正仿宋_GBK" w:cs="Times New Roman"/>
        </w:rPr>
        <w:t>申请机构按要求填写《芜湖市基本医疗保险定点医疗机构申请表》（附件1）、《芜湖市基本医疗保险定点零售药店申请表》（附件2），并提交本办法第六、七条规定条件的相关证明材料。</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方正仿宋_GBK" w:cs="Times New Roman"/>
        </w:rPr>
      </w:pPr>
      <w:r>
        <w:rPr>
          <w:rFonts w:hint="eastAsia" w:ascii="方正楷体_GBK" w:hAnsi="方正楷体_GBK" w:eastAsia="方正楷体_GBK" w:cs="方正楷体_GBK"/>
          <w:b w:val="0"/>
          <w:bCs w:val="0"/>
        </w:rPr>
        <w:t>（二）材料受理</w:t>
      </w:r>
      <w:r>
        <w:rPr>
          <w:rFonts w:hint="eastAsia" w:ascii="方正楷体_GBK" w:hAnsi="方正楷体_GBK" w:eastAsia="方正楷体_GBK" w:cs="方正楷体_GBK"/>
          <w:b w:val="0"/>
          <w:bCs w:val="0"/>
          <w:lang w:eastAsia="zh-CN"/>
        </w:rPr>
        <w:t>。</w:t>
      </w:r>
      <w:r>
        <w:rPr>
          <w:rFonts w:hint="default" w:ascii="Times New Roman" w:hAnsi="Times New Roman" w:eastAsia="方正仿宋_GBK" w:cs="Times New Roman"/>
        </w:rPr>
        <w:t>经办机构对医药机构</w:t>
      </w:r>
      <w:r>
        <w:rPr>
          <w:rFonts w:hint="default" w:ascii="Times New Roman" w:hAnsi="Times New Roman" w:eastAsia="方正仿宋_GBK" w:cs="Times New Roman"/>
          <w:lang w:val="en-US" w:eastAsia="zh-CN"/>
        </w:rPr>
        <w:t>提交的</w:t>
      </w:r>
      <w:r>
        <w:rPr>
          <w:rFonts w:hint="default" w:ascii="Times New Roman" w:hAnsi="Times New Roman" w:eastAsia="方正仿宋_GBK" w:cs="Times New Roman"/>
        </w:rPr>
        <w:t>申请材料应即时受理，对申请材料内容不全的，自收到材料之日起5个工作日内</w:t>
      </w:r>
      <w:r>
        <w:rPr>
          <w:rFonts w:hint="default" w:ascii="Times New Roman" w:hAnsi="Times New Roman" w:eastAsia="方正仿宋_GBK" w:cs="Times New Roman"/>
          <w:lang w:val="en-US" w:eastAsia="zh-CN"/>
        </w:rPr>
        <w:t>应</w:t>
      </w:r>
      <w:r>
        <w:rPr>
          <w:rFonts w:hint="default" w:ascii="Times New Roman" w:hAnsi="Times New Roman" w:eastAsia="方正仿宋_GBK" w:cs="Times New Roman"/>
        </w:rPr>
        <w:t>一次性告知医药机构补充。</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方正仿宋_GBK" w:cs="Times New Roman"/>
        </w:rPr>
      </w:pPr>
      <w:r>
        <w:rPr>
          <w:rFonts w:hint="eastAsia" w:ascii="方正楷体_GBK" w:hAnsi="方正楷体_GBK" w:eastAsia="方正楷体_GBK" w:cs="方正楷体_GBK"/>
          <w:b w:val="0"/>
          <w:bCs w:val="0"/>
        </w:rPr>
        <w:t>（三）核查评估</w:t>
      </w:r>
      <w:r>
        <w:rPr>
          <w:rFonts w:hint="eastAsia" w:ascii="方正楷体_GBK" w:hAnsi="方正楷体_GBK" w:eastAsia="方正楷体_GBK" w:cs="方正楷体_GBK"/>
          <w:b w:val="0"/>
          <w:bCs w:val="0"/>
          <w:lang w:eastAsia="zh-CN"/>
        </w:rPr>
        <w:t>。</w:t>
      </w:r>
      <w:r>
        <w:rPr>
          <w:rFonts w:hint="default" w:ascii="Times New Roman" w:hAnsi="Times New Roman" w:eastAsia="方正仿宋_GBK" w:cs="Times New Roman"/>
        </w:rPr>
        <w:t>经办机构自受理申请材料之日起，应在3个月内完成核查评估，医药机构补充材料时间不计入评估期限。经办机构应建立评估专家库，每次参加评估人员随机抽取产生，人数为奇数。其中核查可采取材料查验和现场勘查等形式。专家评估组依据核查情况，按照《芜湖市基本医疗保险</w:t>
      </w:r>
      <w:r>
        <w:rPr>
          <w:rFonts w:hint="default" w:ascii="Times New Roman" w:hAnsi="Times New Roman" w:eastAsia="方正仿宋_GBK" w:cs="Times New Roman"/>
          <w:lang w:val="en-US" w:eastAsia="zh-CN"/>
        </w:rPr>
        <w:t>定点</w:t>
      </w:r>
      <w:r>
        <w:rPr>
          <w:rFonts w:hint="default" w:ascii="Times New Roman" w:hAnsi="Times New Roman" w:eastAsia="方正仿宋_GBK" w:cs="Times New Roman"/>
        </w:rPr>
        <w:t>医疗机构</w:t>
      </w:r>
      <w:r>
        <w:rPr>
          <w:rFonts w:hint="default" w:ascii="Times New Roman" w:hAnsi="Times New Roman" w:eastAsia="方正仿宋_GBK" w:cs="Times New Roman"/>
          <w:lang w:eastAsia="zh-CN"/>
        </w:rPr>
        <w:t>（零售药店）</w:t>
      </w:r>
      <w:r>
        <w:rPr>
          <w:rFonts w:hint="default" w:ascii="Times New Roman" w:hAnsi="Times New Roman" w:eastAsia="方正仿宋_GBK" w:cs="Times New Roman"/>
        </w:rPr>
        <w:t>评分标准表》（附件3</w:t>
      </w:r>
      <w:r>
        <w:rPr>
          <w:rFonts w:hint="default" w:ascii="Times New Roman" w:hAnsi="Times New Roman" w:eastAsia="方正仿宋_GBK" w:cs="Times New Roman"/>
          <w:lang w:eastAsia="zh-CN"/>
        </w:rPr>
        <w:t>、附件</w:t>
      </w:r>
      <w:r>
        <w:rPr>
          <w:rFonts w:hint="default" w:ascii="Times New Roman" w:hAnsi="Times New Roman" w:eastAsia="方正仿宋_GBK" w:cs="Times New Roman"/>
          <w:lang w:val="en-US" w:eastAsia="zh-CN"/>
        </w:rPr>
        <w:t>4</w:t>
      </w:r>
      <w:r>
        <w:rPr>
          <w:rFonts w:hint="default" w:ascii="Times New Roman" w:hAnsi="Times New Roman" w:eastAsia="方正仿宋_GBK" w:cs="Times New Roman"/>
        </w:rPr>
        <w:t>）进行量化评分</w:t>
      </w:r>
      <w:r>
        <w:rPr>
          <w:rFonts w:hint="default" w:ascii="Times New Roman" w:hAnsi="Times New Roman" w:eastAsia="方正仿宋_GBK" w:cs="Times New Roman"/>
          <w:lang w:eastAsia="zh-CN"/>
        </w:rPr>
        <w:t>。</w:t>
      </w:r>
      <w:r>
        <w:rPr>
          <w:rFonts w:hint="default" w:ascii="Times New Roman" w:hAnsi="Times New Roman" w:eastAsia="方正仿宋_GBK" w:cs="Times New Roman"/>
        </w:rPr>
        <w:t>评估人员与评估对象存在利害关系的，应当回避。</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方正仿宋_GBK" w:cs="Times New Roman"/>
        </w:rPr>
      </w:pPr>
      <w:r>
        <w:rPr>
          <w:rFonts w:hint="eastAsia" w:ascii="方正楷体_GBK" w:hAnsi="方正楷体_GBK" w:eastAsia="方正楷体_GBK" w:cs="方正楷体_GBK"/>
          <w:b w:val="0"/>
          <w:bCs w:val="0"/>
        </w:rPr>
        <w:t>（四）</w:t>
      </w:r>
      <w:r>
        <w:rPr>
          <w:rFonts w:hint="eastAsia" w:ascii="方正楷体_GBK" w:hAnsi="方正楷体_GBK" w:eastAsia="方正楷体_GBK" w:cs="方正楷体_GBK"/>
          <w:b w:val="0"/>
          <w:bCs w:val="0"/>
          <w:lang w:val="en-US" w:eastAsia="zh-CN"/>
        </w:rPr>
        <w:t>结果确定。</w:t>
      </w:r>
      <w:r>
        <w:rPr>
          <w:rFonts w:hint="default" w:ascii="Times New Roman" w:hAnsi="Times New Roman" w:eastAsia="方正仿宋_GBK" w:cs="Times New Roman"/>
        </w:rPr>
        <w:t>经办机构</w:t>
      </w:r>
      <w:r>
        <w:rPr>
          <w:rFonts w:hint="default" w:ascii="Times New Roman" w:hAnsi="Times New Roman" w:eastAsia="方正仿宋_GBK" w:cs="Times New Roman"/>
          <w:lang w:eastAsia="zh-CN"/>
        </w:rPr>
        <w:t>采用以下方法确定评估结果</w:t>
      </w:r>
      <w:r>
        <w:rPr>
          <w:rFonts w:hint="default" w:ascii="Times New Roman" w:hAnsi="Times New Roman" w:eastAsia="方正仿宋_GBK" w:cs="Times New Roman"/>
        </w:rPr>
        <w:t>：当合格申请机构数小于或等于</w:t>
      </w:r>
      <w:r>
        <w:rPr>
          <w:rFonts w:hint="default" w:ascii="Times New Roman" w:hAnsi="Times New Roman" w:eastAsia="方正仿宋_GBK" w:cs="Times New Roman"/>
          <w:lang w:val="en-US" w:eastAsia="zh-CN"/>
        </w:rPr>
        <w:t>网格内</w:t>
      </w:r>
      <w:r>
        <w:rPr>
          <w:rFonts w:hint="default" w:ascii="Times New Roman" w:hAnsi="Times New Roman" w:eastAsia="方正仿宋_GBK" w:cs="Times New Roman"/>
        </w:rPr>
        <w:t>规划缺口数时，所有评估合格的机构纳入</w:t>
      </w:r>
      <w:r>
        <w:rPr>
          <w:rFonts w:hint="default" w:ascii="Times New Roman" w:hAnsi="Times New Roman" w:eastAsia="方正仿宋_GBK" w:cs="Times New Roman"/>
          <w:lang w:eastAsia="zh-CN"/>
        </w:rPr>
        <w:t>拟新增的</w:t>
      </w:r>
      <w:r>
        <w:rPr>
          <w:rFonts w:hint="default" w:ascii="Times New Roman" w:hAnsi="Times New Roman" w:eastAsia="方正仿宋_GBK" w:cs="Times New Roman"/>
        </w:rPr>
        <w:t>名单；当合格申请机构数超过</w:t>
      </w:r>
      <w:r>
        <w:rPr>
          <w:rFonts w:hint="default" w:ascii="Times New Roman" w:hAnsi="Times New Roman" w:eastAsia="方正仿宋_GBK" w:cs="Times New Roman"/>
          <w:lang w:val="en-US" w:eastAsia="zh-CN"/>
        </w:rPr>
        <w:t>网格内</w:t>
      </w:r>
      <w:r>
        <w:rPr>
          <w:rFonts w:hint="default" w:ascii="Times New Roman" w:hAnsi="Times New Roman" w:eastAsia="方正仿宋_GBK" w:cs="Times New Roman"/>
        </w:rPr>
        <w:t>规划缺口数时，则按照评估量化评分从高到低排序，在合格分数线以上的机构中择优纳入，在同类分组中各机构评估得分相同情况下，分别按以下项目比较，依序择优确定</w:t>
      </w:r>
      <w:r>
        <w:rPr>
          <w:rFonts w:hint="default" w:ascii="Times New Roman" w:hAnsi="Times New Roman" w:eastAsia="方正仿宋_GBK" w:cs="Times New Roman"/>
          <w:lang w:eastAsia="zh-CN"/>
        </w:rPr>
        <w:t>拟新增</w:t>
      </w:r>
      <w:r>
        <w:rPr>
          <w:rFonts w:hint="default" w:ascii="Times New Roman" w:hAnsi="Times New Roman" w:eastAsia="方正仿宋_GBK" w:cs="Times New Roman"/>
        </w:rPr>
        <w:t>对象:</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方正仿宋_GBK" w:cs="Times New Roman"/>
        </w:rPr>
      </w:pPr>
      <w:r>
        <w:rPr>
          <w:rFonts w:hint="default" w:ascii="Times New Roman" w:hAnsi="Times New Roman" w:eastAsia="方正仿宋_GBK" w:cs="Times New Roman"/>
        </w:rPr>
        <w:t>1.医疗机构:依次以在申请定点地址运营时间长者优、执业医师数量多者优(计算第一注册地在</w:t>
      </w:r>
      <w:r>
        <w:rPr>
          <w:rFonts w:hint="default" w:ascii="Times New Roman" w:hAnsi="Times New Roman" w:eastAsia="方正仿宋_GBK" w:cs="Times New Roman"/>
          <w:lang w:eastAsia="zh-CN"/>
        </w:rPr>
        <w:t>该</w:t>
      </w:r>
      <w:r>
        <w:rPr>
          <w:rFonts w:hint="default" w:ascii="Times New Roman" w:hAnsi="Times New Roman" w:eastAsia="方正仿宋_GBK" w:cs="Times New Roman"/>
        </w:rPr>
        <w:t>申请机构的数量)、中高级职称医师占比高者优。</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方正仿宋_GBK" w:cs="Times New Roman"/>
        </w:rPr>
      </w:pPr>
      <w:r>
        <w:rPr>
          <w:rFonts w:hint="default" w:ascii="Times New Roman" w:hAnsi="Times New Roman" w:eastAsia="方正仿宋_GBK" w:cs="Times New Roman"/>
        </w:rPr>
        <w:t>2.零售药店:依次以在申请定点地址运营时间长者优、连锁经营优、执业药师数量多者优(计算注册在申请门店的数量)。</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方正仿宋_GBK" w:cs="Times New Roman"/>
        </w:rPr>
      </w:pPr>
      <w:r>
        <w:rPr>
          <w:rFonts w:hint="eastAsia" w:ascii="方正楷体_GBK" w:hAnsi="方正楷体_GBK" w:eastAsia="方正楷体_GBK" w:cs="方正楷体_GBK"/>
          <w:b w:val="0"/>
          <w:bCs w:val="0"/>
          <w:lang w:eastAsia="zh-CN"/>
        </w:rPr>
        <w:t>（五）公开公示。</w:t>
      </w:r>
      <w:r>
        <w:rPr>
          <w:rFonts w:hint="default" w:ascii="Times New Roman" w:hAnsi="Times New Roman" w:eastAsia="方正仿宋_GBK" w:cs="Times New Roman"/>
          <w:lang w:val="en-US" w:eastAsia="zh-CN"/>
        </w:rPr>
        <w:t>属地经办机构</w:t>
      </w:r>
      <w:r>
        <w:rPr>
          <w:rFonts w:hint="default" w:ascii="Times New Roman" w:hAnsi="Times New Roman" w:eastAsia="方正仿宋_GBK" w:cs="Times New Roman"/>
        </w:rPr>
        <w:t>根据评估结果，结合</w:t>
      </w:r>
      <w:r>
        <w:rPr>
          <w:rFonts w:hint="default" w:ascii="Times New Roman" w:hAnsi="Times New Roman" w:eastAsia="方正仿宋_GBK" w:cs="Times New Roman"/>
          <w:lang w:val="en-US" w:eastAsia="zh-CN"/>
        </w:rPr>
        <w:t>网格内</w:t>
      </w:r>
      <w:r>
        <w:rPr>
          <w:rFonts w:hint="default" w:ascii="Times New Roman" w:hAnsi="Times New Roman" w:eastAsia="方正仿宋_GBK" w:cs="Times New Roman"/>
        </w:rPr>
        <w:t>定点医药机构规划缺口情况，确定拟新增定点名单</w:t>
      </w:r>
      <w:r>
        <w:rPr>
          <w:rFonts w:hint="default" w:ascii="Times New Roman" w:hAnsi="Times New Roman" w:eastAsia="方正仿宋_GBK" w:cs="Times New Roman"/>
          <w:lang w:eastAsia="zh-CN"/>
        </w:rPr>
        <w:t>，并</w:t>
      </w:r>
      <w:r>
        <w:rPr>
          <w:rFonts w:hint="default" w:ascii="Times New Roman" w:hAnsi="Times New Roman" w:eastAsia="方正仿宋_GBK" w:cs="Times New Roman"/>
        </w:rPr>
        <w:t>及时向医药机构发放《医药机构定点评估结果告知书》（附件</w:t>
      </w:r>
      <w:r>
        <w:rPr>
          <w:rFonts w:hint="default" w:ascii="Times New Roman" w:hAnsi="Times New Roman" w:eastAsia="方正仿宋_GBK" w:cs="Times New Roman"/>
          <w:lang w:val="en-US" w:eastAsia="zh-CN"/>
        </w:rPr>
        <w:t>5</w:t>
      </w:r>
      <w:r>
        <w:rPr>
          <w:rFonts w:hint="default" w:ascii="Times New Roman" w:hAnsi="Times New Roman" w:eastAsia="方正仿宋_GBK" w:cs="Times New Roman"/>
        </w:rPr>
        <w:t>）</w:t>
      </w:r>
      <w:r>
        <w:rPr>
          <w:rFonts w:hint="default" w:ascii="Times New Roman" w:hAnsi="Times New Roman" w:eastAsia="方正仿宋_GBK" w:cs="Times New Roman"/>
          <w:lang w:eastAsia="zh-CN"/>
        </w:rPr>
        <w:t>，同时</w:t>
      </w:r>
      <w:r>
        <w:rPr>
          <w:rFonts w:hint="default" w:ascii="Times New Roman" w:hAnsi="Times New Roman" w:eastAsia="方正仿宋_GBK" w:cs="Times New Roman"/>
          <w:lang w:val="en-US" w:eastAsia="zh-CN"/>
        </w:rPr>
        <w:t>应及时</w:t>
      </w:r>
      <w:r>
        <w:rPr>
          <w:rFonts w:hint="default" w:ascii="Times New Roman" w:hAnsi="Times New Roman" w:eastAsia="方正仿宋_GBK" w:cs="Times New Roman"/>
          <w:lang w:eastAsia="zh-CN"/>
        </w:rPr>
        <w:t>将上述拟新增的</w:t>
      </w:r>
      <w:r>
        <w:rPr>
          <w:rFonts w:hint="default" w:ascii="Times New Roman" w:hAnsi="Times New Roman" w:eastAsia="方正仿宋_GBK" w:cs="Times New Roman"/>
        </w:rPr>
        <w:t>名单向社会公示</w:t>
      </w:r>
      <w:r>
        <w:rPr>
          <w:rFonts w:hint="default" w:ascii="Times New Roman" w:hAnsi="Times New Roman" w:eastAsia="方正仿宋_GBK" w:cs="Times New Roman"/>
          <w:lang w:eastAsia="zh-CN"/>
        </w:rPr>
        <w:t>，</w:t>
      </w:r>
      <w:r>
        <w:rPr>
          <w:rFonts w:hint="default" w:ascii="Times New Roman" w:hAnsi="Times New Roman" w:eastAsia="方正仿宋_GBK" w:cs="Times New Roman"/>
        </w:rPr>
        <w:t>公示期为7天。对于评估不合格的，应告知理由及整改建议</w:t>
      </w:r>
      <w:r>
        <w:rPr>
          <w:rFonts w:hint="default" w:ascii="Times New Roman" w:hAnsi="Times New Roman" w:eastAsia="方正仿宋_GBK" w:cs="Times New Roman"/>
          <w:lang w:eastAsia="zh-CN"/>
        </w:rPr>
        <w:t>，</w:t>
      </w:r>
      <w:r>
        <w:rPr>
          <w:rFonts w:hint="default" w:ascii="Times New Roman" w:hAnsi="Times New Roman" w:eastAsia="方正仿宋_GBK" w:cs="Times New Roman"/>
        </w:rPr>
        <w:t>自结果告知送达之日起，整改3个月</w:t>
      </w:r>
      <w:r>
        <w:rPr>
          <w:rFonts w:hint="default" w:ascii="Times New Roman" w:hAnsi="Times New Roman" w:eastAsia="方正仿宋_GBK" w:cs="Times New Roman"/>
          <w:lang w:val="en-US" w:eastAsia="zh-CN"/>
        </w:rPr>
        <w:t>后，网格内</w:t>
      </w:r>
      <w:r>
        <w:rPr>
          <w:rFonts w:hint="default" w:ascii="Times New Roman" w:hAnsi="Times New Roman" w:eastAsia="方正仿宋_GBK" w:cs="Times New Roman"/>
          <w:lang w:eastAsia="zh-CN"/>
        </w:rPr>
        <w:t>若仍有规划缺口，</w:t>
      </w:r>
      <w:r>
        <w:rPr>
          <w:rFonts w:hint="default" w:ascii="Times New Roman" w:hAnsi="Times New Roman" w:eastAsia="方正仿宋_GBK" w:cs="Times New Roman"/>
          <w:lang w:val="en-US" w:eastAsia="zh-CN"/>
        </w:rPr>
        <w:t>方</w:t>
      </w:r>
      <w:r>
        <w:rPr>
          <w:rFonts w:hint="default" w:ascii="Times New Roman" w:hAnsi="Times New Roman" w:eastAsia="方正仿宋_GBK" w:cs="Times New Roman"/>
        </w:rPr>
        <w:t>可再次组织评估，评估仍不合格的，1年内不得再次申请</w:t>
      </w:r>
      <w:r>
        <w:rPr>
          <w:rFonts w:hint="default" w:ascii="Times New Roman" w:hAnsi="Times New Roman" w:eastAsia="方正仿宋_GBK" w:cs="Times New Roman"/>
          <w:lang w:eastAsia="zh-CN"/>
        </w:rPr>
        <w:t>，若无规划缺口，则暂不接受申请</w:t>
      </w:r>
      <w:r>
        <w:rPr>
          <w:rFonts w:hint="default" w:ascii="Times New Roman" w:hAnsi="Times New Roman" w:eastAsia="方正仿宋_GBK" w:cs="Times New Roman"/>
        </w:rPr>
        <w:t>。</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方正仿宋_GBK" w:cs="Times New Roman"/>
        </w:rPr>
      </w:pPr>
      <w:r>
        <w:rPr>
          <w:rFonts w:hint="eastAsia" w:ascii="方正楷体_GBK" w:hAnsi="方正楷体_GBK" w:eastAsia="方正楷体_GBK" w:cs="方正楷体_GBK"/>
          <w:b w:val="0"/>
          <w:bCs w:val="0"/>
          <w:lang w:eastAsia="zh-CN"/>
        </w:rPr>
        <w:t>（六）协议签订。</w:t>
      </w:r>
      <w:r>
        <w:rPr>
          <w:rFonts w:hint="default" w:ascii="Times New Roman" w:hAnsi="Times New Roman" w:eastAsia="方正仿宋_GBK" w:cs="Times New Roman"/>
        </w:rPr>
        <w:t>公示期满无异议</w:t>
      </w:r>
      <w:r>
        <w:rPr>
          <w:rFonts w:hint="default" w:ascii="Times New Roman" w:hAnsi="Times New Roman" w:eastAsia="方正仿宋_GBK" w:cs="Times New Roman"/>
          <w:lang w:eastAsia="zh-CN"/>
        </w:rPr>
        <w:t>，</w:t>
      </w:r>
      <w:r>
        <w:rPr>
          <w:rFonts w:hint="default" w:ascii="Times New Roman" w:hAnsi="Times New Roman" w:eastAsia="方正仿宋_GBK" w:cs="Times New Roman"/>
        </w:rPr>
        <w:t>或收到举报但经核查不影响评估结果的，</w:t>
      </w:r>
      <w:r>
        <w:rPr>
          <w:rFonts w:hint="default" w:ascii="Times New Roman" w:hAnsi="Times New Roman" w:eastAsia="方正仿宋_GBK" w:cs="Times New Roman"/>
          <w:lang w:val="en-US" w:eastAsia="zh-CN"/>
        </w:rPr>
        <w:t>由</w:t>
      </w:r>
      <w:r>
        <w:rPr>
          <w:rFonts w:hint="default" w:ascii="Times New Roman" w:hAnsi="Times New Roman" w:eastAsia="方正仿宋_GBK" w:cs="Times New Roman"/>
        </w:rPr>
        <w:t>经办机构与医药机构签订医保协议，</w:t>
      </w:r>
      <w:r>
        <w:rPr>
          <w:rFonts w:hint="default" w:ascii="Times New Roman" w:hAnsi="Times New Roman" w:eastAsia="方正仿宋_GBK" w:cs="Times New Roman"/>
          <w:lang w:val="en-US" w:eastAsia="zh-CN"/>
        </w:rPr>
        <w:t>签订协议后15日内报同级医保行政部门及市级医保经办机构备案，由市级医保经办机构</w:t>
      </w:r>
      <w:r>
        <w:rPr>
          <w:rFonts w:hint="default" w:ascii="Times New Roman" w:hAnsi="Times New Roman" w:eastAsia="方正仿宋_GBK" w:cs="Times New Roman"/>
        </w:rPr>
        <w:t>向社会公布新增定点医药机构名单。经办机构应组织新增定点医药机构相关人员开展医保政策业务培训。</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0" w:firstLineChars="0"/>
        <w:jc w:val="center"/>
        <w:textAlignment w:val="auto"/>
        <w:rPr>
          <w:rFonts w:hint="default" w:ascii="Times New Roman" w:hAnsi="Times New Roman" w:eastAsia="方正黑体_GBK" w:cs="Times New Roman"/>
        </w:rPr>
      </w:pPr>
      <w:r>
        <w:rPr>
          <w:rFonts w:hint="default" w:ascii="Times New Roman" w:hAnsi="Times New Roman" w:eastAsia="方正黑体_GBK" w:cs="Times New Roman"/>
        </w:rPr>
        <w:t>第四章 协议管理</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方正仿宋_GBK" w:cs="Times New Roman"/>
        </w:rPr>
      </w:pPr>
      <w:r>
        <w:rPr>
          <w:rFonts w:hint="eastAsia" w:ascii="方正黑体_GBK" w:hAnsi="方正黑体_GBK" w:eastAsia="方正黑体_GBK" w:cs="方正黑体_GBK"/>
        </w:rPr>
        <w:t>第十条</w:t>
      </w:r>
      <w:r>
        <w:rPr>
          <w:rFonts w:hint="default" w:ascii="Times New Roman" w:hAnsi="Times New Roman" w:eastAsia="方正仿宋_GBK" w:cs="Times New Roman"/>
        </w:rPr>
        <w:t xml:space="preserve"> 各级医保经办机构与医药机构遵从协商一致原则签订协议。协议内容参照省、市规定的协议范本，结合工作实际增加相应条款。</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方正仿宋_GBK" w:cs="Times New Roman"/>
          <w:lang w:val="en-US" w:eastAsia="zh-CN"/>
        </w:rPr>
      </w:pPr>
      <w:r>
        <w:rPr>
          <w:rFonts w:hint="eastAsia" w:ascii="方正黑体_GBK" w:hAnsi="方正黑体_GBK" w:eastAsia="方正黑体_GBK" w:cs="方正黑体_GBK"/>
        </w:rPr>
        <w:t>第十一条</w:t>
      </w:r>
      <w:r>
        <w:rPr>
          <w:rFonts w:hint="default" w:ascii="Times New Roman" w:hAnsi="Times New Roman" w:eastAsia="方正楷体_GBK" w:cs="Times New Roman"/>
          <w:lang w:val="en-US" w:eastAsia="zh-CN"/>
        </w:rPr>
        <w:t xml:space="preserve"> </w:t>
      </w:r>
      <w:r>
        <w:rPr>
          <w:rFonts w:hint="default" w:ascii="Times New Roman" w:hAnsi="Times New Roman" w:eastAsia="方正仿宋_GBK" w:cs="Times New Roman"/>
          <w:lang w:val="en-US" w:eastAsia="zh-CN"/>
        </w:rPr>
        <w:t>对于新纳入医保定点的医疗机构，设立6个月政策辅导期，有针对性指导定点医疗机构落实医保管理及支付相关政策要求。政策辅导期内，除区域医疗中心外原则上不开通异地就医医保结算服务，属地医保部门要点对点加大医保政策辅导力度，强化医保法律、法规、政策以及违法违规典型案例培训，加强警示教育，通过政策培训、上门宣讲、信息共享、检查提醒等方式做好服务。政策辅导期内出现违反协议约定或违反医保政策规定的，医保部门应及时辅导、纠正，并增加政策辅导频次。政策辅导期内出现违规问题，情节较轻的，政策辅导期延长6个月，延长期内整改不到位的不予续签医保协议;情节严重的，直接解除医保协议。</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方正仿宋_GBK" w:cs="Times New Roman"/>
        </w:rPr>
      </w:pPr>
      <w:r>
        <w:rPr>
          <w:rFonts w:hint="eastAsia" w:ascii="方正黑体_GBK" w:hAnsi="方正黑体_GBK" w:eastAsia="方正黑体_GBK" w:cs="方正黑体_GBK"/>
        </w:rPr>
        <w:t>第十</w:t>
      </w:r>
      <w:r>
        <w:rPr>
          <w:rFonts w:hint="eastAsia" w:ascii="方正黑体_GBK" w:hAnsi="方正黑体_GBK" w:eastAsia="方正黑体_GBK" w:cs="方正黑体_GBK"/>
          <w:lang w:val="en-US" w:eastAsia="zh-CN"/>
        </w:rPr>
        <w:t>二</w:t>
      </w:r>
      <w:r>
        <w:rPr>
          <w:rFonts w:hint="eastAsia" w:ascii="方正黑体_GBK" w:hAnsi="方正黑体_GBK" w:eastAsia="方正黑体_GBK" w:cs="方正黑体_GBK"/>
        </w:rPr>
        <w:t>条</w:t>
      </w:r>
      <w:r>
        <w:rPr>
          <w:rFonts w:hint="default" w:ascii="Times New Roman" w:hAnsi="Times New Roman" w:eastAsia="方正仿宋_GBK" w:cs="Times New Roman"/>
        </w:rPr>
        <w:t xml:space="preserve"> 全市定点医药机构实行属地管理，定点资质互认</w:t>
      </w:r>
      <w:r>
        <w:rPr>
          <w:rFonts w:hint="default" w:ascii="Times New Roman" w:hAnsi="Times New Roman" w:eastAsia="方正仿宋_GBK" w:cs="Times New Roman"/>
          <w:lang w:eastAsia="zh-CN"/>
        </w:rPr>
        <w:t>（其中市区的医药机构由市级经办机构管理）</w:t>
      </w:r>
      <w:r>
        <w:rPr>
          <w:rFonts w:hint="default" w:ascii="Times New Roman" w:hAnsi="Times New Roman" w:eastAsia="方正仿宋_GBK" w:cs="Times New Roman"/>
        </w:rPr>
        <w:t>。</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方正仿宋_GBK" w:cs="Times New Roman"/>
          <w:lang w:val="en-US" w:eastAsia="zh-CN"/>
        </w:rPr>
      </w:pPr>
      <w:r>
        <w:rPr>
          <w:rFonts w:hint="eastAsia" w:ascii="方正黑体_GBK" w:hAnsi="方正黑体_GBK" w:eastAsia="方正黑体_GBK" w:cs="方正黑体_GBK"/>
        </w:rPr>
        <w:t>第十</w:t>
      </w:r>
      <w:r>
        <w:rPr>
          <w:rFonts w:hint="eastAsia" w:ascii="方正黑体_GBK" w:hAnsi="方正黑体_GBK" w:eastAsia="方正黑体_GBK" w:cs="方正黑体_GBK"/>
          <w:lang w:val="en-US" w:eastAsia="zh-CN"/>
        </w:rPr>
        <w:t>三</w:t>
      </w:r>
      <w:r>
        <w:rPr>
          <w:rFonts w:hint="eastAsia" w:ascii="方正黑体_GBK" w:hAnsi="方正黑体_GBK" w:eastAsia="方正黑体_GBK" w:cs="方正黑体_GBK"/>
        </w:rPr>
        <w:t>条</w:t>
      </w:r>
      <w:r>
        <w:rPr>
          <w:rFonts w:hint="default" w:ascii="Times New Roman" w:hAnsi="Times New Roman" w:eastAsia="方正仿宋_GBK" w:cs="Times New Roman"/>
        </w:rPr>
        <w:t xml:space="preserve"> 定</w:t>
      </w:r>
      <w:r>
        <w:rPr>
          <w:rFonts w:hint="default" w:ascii="Times New Roman" w:hAnsi="Times New Roman" w:eastAsia="方正仿宋_GBK" w:cs="Times New Roman"/>
          <w:lang w:val="en-US" w:eastAsia="zh-CN"/>
        </w:rPr>
        <w:t>点医药机构的名称、法定代表人、主要负责人或实际控制人、注册地址、银行账户、诊疗科目、机构规模、机构性质、药店的药品经营范围、医疗机构的等级和类别等重大信息发生变更时，应自有关部门批准之日起30个工作日内向经办机构提出变更申请。其他一般信息变更应及时书面告知。凡变更定点医药机构名称、法人代表人的，医保经办机构在收到完整材料之日起，15个工作日核定完毕，与定点医药机构签订补充协议，并及时向同级医疗保障行政部门备案，并向社会公布。</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方正仿宋_GBK" w:cs="Times New Roman"/>
          <w:lang w:val="en-US" w:eastAsia="zh-CN"/>
        </w:rPr>
      </w:pPr>
      <w:r>
        <w:rPr>
          <w:rFonts w:hint="eastAsia" w:ascii="方正黑体_GBK" w:hAnsi="方正黑体_GBK" w:eastAsia="方正黑体_GBK" w:cs="方正黑体_GBK"/>
          <w:lang w:val="en-US" w:eastAsia="zh-CN"/>
        </w:rPr>
        <w:t>第十四条</w:t>
      </w:r>
      <w:r>
        <w:rPr>
          <w:rFonts w:hint="default" w:ascii="Times New Roman" w:hAnsi="Times New Roman" w:eastAsia="方正仿宋_GBK" w:cs="Times New Roman"/>
          <w:lang w:val="en-US" w:eastAsia="zh-CN"/>
        </w:rPr>
        <w:t xml:space="preserve"> 定点医疗机构因新设分院区等新增执业地点，或定点医药机构迁址等，均须按新增定点管理。</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方正仿宋_GBK" w:cs="Times New Roman"/>
          <w:lang w:val="en-US" w:eastAsia="zh-CN"/>
        </w:rPr>
      </w:pPr>
      <w:r>
        <w:rPr>
          <w:rFonts w:hint="eastAsia" w:ascii="方正黑体_GBK" w:hAnsi="方正黑体_GBK" w:eastAsia="方正黑体_GBK" w:cs="方正黑体_GBK"/>
          <w:lang w:val="en-US" w:eastAsia="zh-CN"/>
        </w:rPr>
        <w:t>第十五条</w:t>
      </w:r>
      <w:r>
        <w:rPr>
          <w:rFonts w:hint="default" w:ascii="Times New Roman" w:hAnsi="Times New Roman" w:eastAsia="方正仿宋_GBK" w:cs="Times New Roman"/>
          <w:lang w:val="en-US" w:eastAsia="zh-CN"/>
        </w:rPr>
        <w:t xml:space="preserve"> 医保协议续签由经办机构统一组织，结合协议履行情况及考核结果等决定是否续签。定点医药机构主动提出中止、解除医保协议或不再续签医保协议的，应提前3个月向经办机构提出申请。</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方正仿宋_GBK" w:cs="Times New Roman"/>
          <w:lang w:val="en-US" w:eastAsia="zh-CN"/>
        </w:rPr>
      </w:pPr>
      <w:r>
        <w:rPr>
          <w:rFonts w:hint="eastAsia" w:ascii="方正黑体_GBK" w:hAnsi="方正黑体_GBK" w:eastAsia="方正黑体_GBK" w:cs="方正黑体_GBK"/>
          <w:lang w:val="en-US" w:eastAsia="zh-CN"/>
        </w:rPr>
        <w:t>第十六条</w:t>
      </w:r>
      <w:r>
        <w:rPr>
          <w:rFonts w:hint="default" w:ascii="Times New Roman" w:hAnsi="Times New Roman" w:eastAsia="方正仿宋_GBK" w:cs="Times New Roman"/>
        </w:rPr>
        <w:t xml:space="preserve"> </w:t>
      </w:r>
      <w:r>
        <w:rPr>
          <w:rFonts w:hint="default" w:ascii="Times New Roman" w:hAnsi="Times New Roman" w:eastAsia="方正仿宋_GBK" w:cs="Times New Roman"/>
          <w:lang w:val="en-US" w:eastAsia="zh-CN"/>
        </w:rPr>
        <w:t>定点医药机构中止或解除医保服务协议按照国家、省有关规定执行。市级经办机构要及时向社会公布解除协议的定点医药机构名单。</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0" w:firstLineChars="0"/>
        <w:jc w:val="center"/>
        <w:textAlignment w:val="auto"/>
        <w:rPr>
          <w:rFonts w:hint="default" w:ascii="Times New Roman" w:hAnsi="Times New Roman" w:eastAsia="方正黑体_GBK" w:cs="Times New Roman"/>
        </w:rPr>
      </w:pPr>
      <w:r>
        <w:rPr>
          <w:rFonts w:hint="default" w:ascii="Times New Roman" w:hAnsi="Times New Roman" w:eastAsia="方正黑体_GBK" w:cs="Times New Roman"/>
        </w:rPr>
        <w:t>第五章 考核管理</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方正仿宋_GBK" w:cs="Times New Roman"/>
          <w:lang w:val="en-US" w:eastAsia="zh-CN"/>
        </w:rPr>
      </w:pPr>
      <w:r>
        <w:rPr>
          <w:rFonts w:hint="eastAsia" w:ascii="方正黑体_GBK" w:hAnsi="方正黑体_GBK" w:eastAsia="方正黑体_GBK" w:cs="方正黑体_GBK"/>
          <w:lang w:val="en-US" w:eastAsia="zh-CN"/>
        </w:rPr>
        <w:t>第十七条</w:t>
      </w:r>
      <w:r>
        <w:rPr>
          <w:rFonts w:hint="default" w:ascii="Times New Roman" w:hAnsi="Times New Roman" w:eastAsia="方正仿宋_GBK" w:cs="Times New Roman"/>
        </w:rPr>
        <w:t xml:space="preserve"> </w:t>
      </w:r>
      <w:r>
        <w:rPr>
          <w:rFonts w:hint="default" w:ascii="Times New Roman" w:hAnsi="Times New Roman" w:eastAsia="方正仿宋_GBK" w:cs="Times New Roman"/>
          <w:lang w:val="en-US" w:eastAsia="zh-CN"/>
        </w:rPr>
        <w:t>经办机构应建立对定点医药机构的信用评价和年度考核制度（具体办法另行制定）。考核内容应包括协议履行情况、医疗保障基金使用情况、服务质量、参保人员满意度、信息化建设与数据质量、遵守医疗保障法律法规和政策情况等。</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方正仿宋_GBK" w:cs="Times New Roman"/>
        </w:rPr>
      </w:pPr>
      <w:r>
        <w:rPr>
          <w:rFonts w:hint="eastAsia" w:ascii="方正黑体_GBK" w:hAnsi="方正黑体_GBK" w:eastAsia="方正黑体_GBK" w:cs="方正黑体_GBK"/>
          <w:lang w:val="en-US" w:eastAsia="zh-CN"/>
        </w:rPr>
        <w:t>第十八条</w:t>
      </w:r>
      <w:r>
        <w:rPr>
          <w:rFonts w:hint="default" w:ascii="Times New Roman" w:hAnsi="Times New Roman" w:eastAsia="方正楷体_GBK" w:cs="Times New Roman"/>
          <w:lang w:val="en-US" w:eastAsia="zh-CN"/>
        </w:rPr>
        <w:t xml:space="preserve"> </w:t>
      </w:r>
      <w:r>
        <w:rPr>
          <w:rFonts w:hint="default" w:ascii="Times New Roman" w:hAnsi="Times New Roman" w:eastAsia="方正仿宋_GBK" w:cs="Times New Roman"/>
        </w:rPr>
        <w:t>信用评价和年度考核制度</w:t>
      </w:r>
      <w:r>
        <w:rPr>
          <w:rFonts w:hint="default" w:ascii="Times New Roman" w:hAnsi="Times New Roman" w:eastAsia="方正仿宋_GBK" w:cs="Times New Roman"/>
          <w:lang w:val="en-US" w:eastAsia="zh-CN"/>
        </w:rPr>
        <w:t>与医保协议续签、年度清算、预留金返还、信用评价及分级管理等挂钩。</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0" w:firstLineChars="0"/>
        <w:jc w:val="center"/>
        <w:textAlignment w:val="auto"/>
        <w:rPr>
          <w:rFonts w:hint="default" w:ascii="Times New Roman" w:hAnsi="Times New Roman" w:eastAsia="方正黑体_GBK" w:cs="Times New Roman"/>
          <w:lang w:val="en-US" w:eastAsia="zh-CN"/>
        </w:rPr>
      </w:pPr>
      <w:r>
        <w:rPr>
          <w:rFonts w:hint="default" w:ascii="Times New Roman" w:hAnsi="Times New Roman" w:eastAsia="方正黑体_GBK" w:cs="Times New Roman"/>
        </w:rPr>
        <w:t>第六章 退出</w:t>
      </w:r>
      <w:r>
        <w:rPr>
          <w:rFonts w:hint="default" w:ascii="Times New Roman" w:hAnsi="Times New Roman" w:eastAsia="方正黑体_GBK" w:cs="Times New Roman"/>
          <w:lang w:val="en-US" w:eastAsia="zh-CN"/>
        </w:rPr>
        <w:t>机制</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方正仿宋_GBK" w:cs="Times New Roman"/>
          <w:lang w:val="en-US" w:eastAsia="zh-CN"/>
        </w:rPr>
      </w:pPr>
      <w:r>
        <w:rPr>
          <w:rFonts w:hint="eastAsia" w:ascii="方正黑体_GBK" w:hAnsi="方正黑体_GBK" w:eastAsia="方正黑体_GBK" w:cs="方正黑体_GBK"/>
          <w:lang w:val="en-US" w:eastAsia="zh-CN"/>
        </w:rPr>
        <w:t>第十九条</w:t>
      </w:r>
      <w:r>
        <w:rPr>
          <w:rFonts w:hint="default" w:ascii="Times New Roman" w:hAnsi="Times New Roman" w:eastAsia="方正仿宋_GBK" w:cs="Times New Roman"/>
        </w:rPr>
        <w:t xml:space="preserve"> </w:t>
      </w:r>
      <w:r>
        <w:rPr>
          <w:rFonts w:hint="default" w:ascii="Times New Roman" w:hAnsi="Times New Roman" w:eastAsia="方正仿宋_GBK" w:cs="Times New Roman"/>
          <w:lang w:val="en-US" w:eastAsia="zh-CN"/>
        </w:rPr>
        <w:t>定点医药机构的退出分为主动退出和被动退出。</w:t>
      </w:r>
      <w:r>
        <w:rPr>
          <w:rFonts w:hint="default" w:ascii="Times New Roman" w:hAnsi="Times New Roman" w:eastAsia="方正仿宋_GBK" w:cs="Times New Roman"/>
        </w:rPr>
        <w:t>主</w:t>
      </w:r>
      <w:r>
        <w:rPr>
          <w:rFonts w:hint="default" w:ascii="Times New Roman" w:hAnsi="Times New Roman" w:eastAsia="方正仿宋_GBK" w:cs="Times New Roman"/>
          <w:lang w:val="en-US" w:eastAsia="zh-CN"/>
        </w:rPr>
        <w:t>动退出指定点医药机构因自身原因，主动提出解除医保协议或协议期满后不再续签医保协议。被动退出是指定点医药机构因违反医保基金监管法规及违反医保协议被解除或终止医保协议，或经年度考核不再续签医保协议。</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方正仿宋_GBK" w:cs="Times New Roman"/>
          <w:lang w:val="en-US" w:eastAsia="zh-CN"/>
        </w:rPr>
      </w:pPr>
      <w:r>
        <w:rPr>
          <w:rFonts w:hint="eastAsia" w:ascii="方正黑体_GBK" w:hAnsi="方正黑体_GBK" w:eastAsia="方正黑体_GBK" w:cs="方正黑体_GBK"/>
          <w:lang w:val="en-US" w:eastAsia="zh-CN"/>
        </w:rPr>
        <w:t>第二十条</w:t>
      </w:r>
      <w:r>
        <w:rPr>
          <w:rFonts w:hint="default" w:ascii="Times New Roman" w:hAnsi="Times New Roman" w:eastAsia="方正楷体_GBK" w:cs="Times New Roman"/>
          <w:lang w:val="en-US" w:eastAsia="zh-CN"/>
        </w:rPr>
        <w:t xml:space="preserve"> </w:t>
      </w:r>
      <w:r>
        <w:rPr>
          <w:rFonts w:hint="default" w:ascii="Times New Roman" w:hAnsi="Times New Roman" w:eastAsia="方正仿宋_GBK" w:cs="Times New Roman"/>
          <w:lang w:val="en-US" w:eastAsia="zh-CN"/>
        </w:rPr>
        <w:t>定点医药机构主动要求解除医保协议或不再续签医保协议的，应提前3个月向经办机构提出书面申请。公立医疗机构原则上不得主动提出解除医保协议。经办机构收到申请后，应对该机构医保基金使用情况进行检查稽核，确认无违规问题或相关问题已处理完毕、参保人医保费用已结清后，方可办理解除手续。医保协议中止或解除后，该医药机构在全市范围内的定点资格同时中止或解除。主动退出的医药机构原则上一年内不得再次申请医保定点。</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方正仿宋_GBK" w:cs="Times New Roman"/>
          <w:lang w:val="en-US" w:eastAsia="zh-CN"/>
        </w:rPr>
      </w:pPr>
      <w:r>
        <w:rPr>
          <w:rFonts w:hint="eastAsia" w:ascii="方正黑体_GBK" w:hAnsi="方正黑体_GBK" w:eastAsia="方正黑体_GBK" w:cs="方正黑体_GBK"/>
          <w:lang w:val="en-US" w:eastAsia="zh-CN"/>
        </w:rPr>
        <w:t>第二十一条</w:t>
      </w:r>
      <w:r>
        <w:rPr>
          <w:rFonts w:hint="default" w:ascii="Times New Roman" w:hAnsi="Times New Roman" w:eastAsia="方正仿宋_GBK" w:cs="Times New Roman"/>
        </w:rPr>
        <w:t xml:space="preserve"> </w:t>
      </w:r>
      <w:r>
        <w:rPr>
          <w:rFonts w:hint="default" w:ascii="Times New Roman" w:hAnsi="Times New Roman" w:eastAsia="方正仿宋_GBK" w:cs="Times New Roman"/>
          <w:lang w:val="en-US" w:eastAsia="zh-CN"/>
        </w:rPr>
        <w:t>定点医疗机构在履行协议期间，出现下列情形之一的，经办机构应解除医保协议，责令其退出定点服务：</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（一）经核查，已不符合本办法第六条规定的准入基本条件的；</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方正仿宋_GBK" w:cs="Times New Roman"/>
          <w:lang w:val="en-US" w:eastAsia="en-US"/>
        </w:rPr>
      </w:pPr>
      <w:r>
        <w:rPr>
          <w:rFonts w:hint="default" w:ascii="Times New Roman" w:hAnsi="Times New Roman" w:eastAsia="方正仿宋_GBK" w:cs="Times New Roman"/>
          <w:lang w:val="en-US" w:eastAsia="zh-CN"/>
        </w:rPr>
        <w:t>（二）</w:t>
      </w:r>
      <w:r>
        <w:rPr>
          <w:rFonts w:hint="default" w:ascii="Times New Roman" w:hAnsi="Times New Roman" w:eastAsia="方正仿宋_GBK" w:cs="Times New Roman"/>
          <w:lang w:val="en-US" w:eastAsia="en-US"/>
        </w:rPr>
        <w:t>医保协议有效期内累计2次及以上被中止医保协议或中止医保协议期间未按要求整改或整改不到位的；</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方正仿宋_GBK" w:cs="Times New Roman"/>
          <w:lang w:val="en-US" w:eastAsia="en-US"/>
        </w:rPr>
      </w:pPr>
      <w:r>
        <w:rPr>
          <w:rFonts w:hint="default" w:ascii="Times New Roman" w:hAnsi="Times New Roman" w:eastAsia="方正仿宋_GBK" w:cs="Times New Roman"/>
          <w:lang w:val="en-US" w:eastAsia="zh-CN"/>
        </w:rPr>
        <w:t>（三）</w:t>
      </w:r>
      <w:r>
        <w:rPr>
          <w:rFonts w:hint="default" w:ascii="Times New Roman" w:hAnsi="Times New Roman" w:eastAsia="方正仿宋_GBK" w:cs="Times New Roman"/>
          <w:lang w:val="en-US" w:eastAsia="en-US"/>
        </w:rPr>
        <w:t>以弄虚作假等不正当手段申请取得定点的；</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方正仿宋_GBK" w:cs="Times New Roman"/>
          <w:lang w:val="en-US" w:eastAsia="en-US"/>
        </w:rPr>
      </w:pPr>
      <w:r>
        <w:rPr>
          <w:rFonts w:hint="default" w:ascii="Times New Roman" w:hAnsi="Times New Roman" w:eastAsia="方正仿宋_GBK" w:cs="Times New Roman"/>
          <w:lang w:val="en-US" w:eastAsia="zh-CN"/>
        </w:rPr>
        <w:t>（四）</w:t>
      </w:r>
      <w:r>
        <w:rPr>
          <w:rFonts w:hint="default" w:ascii="Times New Roman" w:hAnsi="Times New Roman" w:eastAsia="方正仿宋_GBK" w:cs="Times New Roman"/>
          <w:lang w:val="en-US" w:eastAsia="en-US"/>
        </w:rPr>
        <w:t>经医疗保障部门和其他有关部门查实有欺诈骗保行为的；</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方正仿宋_GBK" w:cs="Times New Roman"/>
          <w:lang w:val="en-US" w:eastAsia="en-US"/>
        </w:rPr>
      </w:pPr>
      <w:r>
        <w:rPr>
          <w:rFonts w:hint="default" w:ascii="Times New Roman" w:hAnsi="Times New Roman" w:eastAsia="方正仿宋_GBK" w:cs="Times New Roman"/>
          <w:lang w:val="en-US" w:eastAsia="zh-CN"/>
        </w:rPr>
        <w:t>（五）</w:t>
      </w:r>
      <w:r>
        <w:rPr>
          <w:rFonts w:hint="default" w:ascii="Times New Roman" w:hAnsi="Times New Roman" w:eastAsia="方正仿宋_GBK" w:cs="Times New Roman"/>
          <w:lang w:val="en-US" w:eastAsia="en-US"/>
        </w:rPr>
        <w:t>为非定点医疗机构或处于中止医保协议期间的医疗机构提供医保费用结算的；</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方正仿宋_GBK" w:cs="Times New Roman"/>
          <w:lang w:val="en-US" w:eastAsia="en-US"/>
        </w:rPr>
      </w:pPr>
      <w:r>
        <w:rPr>
          <w:rFonts w:hint="default" w:ascii="Times New Roman" w:hAnsi="Times New Roman" w:eastAsia="方正仿宋_GBK" w:cs="Times New Roman"/>
          <w:lang w:val="en-US" w:eastAsia="zh-CN"/>
        </w:rPr>
        <w:t>（六）</w:t>
      </w:r>
      <w:r>
        <w:rPr>
          <w:rFonts w:hint="default" w:ascii="Times New Roman" w:hAnsi="Times New Roman" w:eastAsia="方正仿宋_GBK" w:cs="Times New Roman"/>
          <w:lang w:val="en-US" w:eastAsia="en-US"/>
        </w:rPr>
        <w:t>拒绝、阻挠或不配合医疗保障部门开展智能审核、绩效考核、监督检查等，情节恶劣的；</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方正仿宋_GBK" w:cs="Times New Roman"/>
          <w:lang w:val="en-US" w:eastAsia="en-US"/>
        </w:rPr>
      </w:pPr>
      <w:r>
        <w:rPr>
          <w:rFonts w:hint="default" w:ascii="Times New Roman" w:hAnsi="Times New Roman" w:eastAsia="方正仿宋_GBK" w:cs="Times New Roman"/>
          <w:lang w:val="en-US" w:eastAsia="zh-CN"/>
        </w:rPr>
        <w:t>（七）</w:t>
      </w:r>
      <w:r>
        <w:rPr>
          <w:rFonts w:hint="default" w:ascii="Times New Roman" w:hAnsi="Times New Roman" w:eastAsia="方正仿宋_GBK" w:cs="Times New Roman"/>
          <w:lang w:val="en-US" w:eastAsia="en-US"/>
        </w:rPr>
        <w:t>被发现重大信息发生变更但未办理重大信息变更的；</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方正仿宋_GBK" w:cs="Times New Roman"/>
          <w:lang w:val="en-US" w:eastAsia="en-US"/>
        </w:rPr>
      </w:pPr>
      <w:r>
        <w:rPr>
          <w:rFonts w:hint="default" w:ascii="Times New Roman" w:hAnsi="Times New Roman" w:eastAsia="方正仿宋_GBK" w:cs="Times New Roman"/>
          <w:lang w:val="en-US" w:eastAsia="zh-CN"/>
        </w:rPr>
        <w:t>（八）</w:t>
      </w:r>
      <w:r>
        <w:rPr>
          <w:rFonts w:hint="default" w:ascii="Times New Roman" w:hAnsi="Times New Roman" w:eastAsia="方正仿宋_GBK" w:cs="Times New Roman"/>
          <w:lang w:val="en-US" w:eastAsia="en-US"/>
        </w:rPr>
        <w:t>定点医疗机构停业或歇业后未按规定向经办机构报告的；</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方正仿宋_GBK" w:cs="Times New Roman"/>
          <w:lang w:val="en-US" w:eastAsia="en-US"/>
        </w:rPr>
      </w:pPr>
      <w:r>
        <w:rPr>
          <w:rFonts w:hint="default" w:ascii="Times New Roman" w:hAnsi="Times New Roman" w:eastAsia="方正仿宋_GBK" w:cs="Times New Roman"/>
          <w:lang w:val="en-US" w:eastAsia="zh-CN"/>
        </w:rPr>
        <w:t>（九）</w:t>
      </w:r>
      <w:r>
        <w:rPr>
          <w:rFonts w:hint="default" w:ascii="Times New Roman" w:hAnsi="Times New Roman" w:eastAsia="方正仿宋_GBK" w:cs="Times New Roman"/>
          <w:lang w:val="en-US" w:eastAsia="en-US"/>
        </w:rPr>
        <w:t>医疗保障行政部门或其他有关部门在行政执法中，发现定点医疗机构存在重大违法违规行为且可能造成医疗保障基金重大损失的；</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方正仿宋_GBK" w:cs="Times New Roman"/>
          <w:lang w:val="en-US" w:eastAsia="en-US"/>
        </w:rPr>
      </w:pPr>
      <w:r>
        <w:rPr>
          <w:rFonts w:hint="default" w:ascii="Times New Roman" w:hAnsi="Times New Roman" w:eastAsia="方正仿宋_GBK" w:cs="Times New Roman"/>
          <w:lang w:val="en-US" w:eastAsia="zh-CN"/>
        </w:rPr>
        <w:t>（十）</w:t>
      </w:r>
      <w:r>
        <w:rPr>
          <w:rFonts w:hint="default" w:ascii="Times New Roman" w:hAnsi="Times New Roman" w:eastAsia="方正仿宋_GBK" w:cs="Times New Roman"/>
          <w:lang w:val="en-US" w:eastAsia="en-US"/>
        </w:rPr>
        <w:t>被吊销、注销医疗机构执业许可证或中医诊所备案证的；</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方正仿宋_GBK" w:cs="Times New Roman"/>
          <w:lang w:val="en-US" w:eastAsia="en-US"/>
        </w:rPr>
      </w:pPr>
      <w:r>
        <w:rPr>
          <w:rFonts w:hint="default" w:ascii="Times New Roman" w:hAnsi="Times New Roman" w:eastAsia="方正仿宋_GBK" w:cs="Times New Roman"/>
          <w:lang w:val="en-US" w:eastAsia="zh-CN"/>
        </w:rPr>
        <w:t>（十一）</w:t>
      </w:r>
      <w:r>
        <w:rPr>
          <w:rFonts w:hint="default" w:ascii="Times New Roman" w:hAnsi="Times New Roman" w:eastAsia="方正仿宋_GBK" w:cs="Times New Roman"/>
          <w:lang w:val="en-US" w:eastAsia="en-US"/>
        </w:rPr>
        <w:t>法定代表人、主要负责人或实际控制人不能履行医保协议约定，或有违法失信行为的；</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方正仿宋_GBK" w:cs="Times New Roman"/>
          <w:lang w:val="en-US" w:eastAsia="en-US"/>
        </w:rPr>
      </w:pPr>
      <w:r>
        <w:rPr>
          <w:rFonts w:hint="default" w:ascii="Times New Roman" w:hAnsi="Times New Roman" w:eastAsia="方正仿宋_GBK" w:cs="Times New Roman"/>
          <w:lang w:val="en-US" w:eastAsia="zh-CN"/>
        </w:rPr>
        <w:t>（十二）</w:t>
      </w:r>
      <w:r>
        <w:rPr>
          <w:rFonts w:hint="default" w:ascii="Times New Roman" w:hAnsi="Times New Roman" w:eastAsia="方正仿宋_GBK" w:cs="Times New Roman"/>
          <w:lang w:val="en-US" w:eastAsia="en-US"/>
        </w:rPr>
        <w:t>未依法履行医疗保障行政部门作出的行政处罚决定的；</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方正仿宋_GBK" w:cs="Times New Roman"/>
          <w:lang w:val="en-US" w:eastAsia="en-US"/>
        </w:rPr>
      </w:pPr>
      <w:r>
        <w:rPr>
          <w:rFonts w:hint="default" w:ascii="Times New Roman" w:hAnsi="Times New Roman" w:eastAsia="方正仿宋_GBK" w:cs="Times New Roman"/>
          <w:lang w:val="en-US" w:eastAsia="zh-CN"/>
        </w:rPr>
        <w:t>（十三）</w:t>
      </w:r>
      <w:r>
        <w:rPr>
          <w:rFonts w:hint="default" w:ascii="Times New Roman" w:hAnsi="Times New Roman" w:eastAsia="方正仿宋_GBK" w:cs="Times New Roman"/>
          <w:lang w:val="en-US" w:eastAsia="en-US"/>
        </w:rPr>
        <w:t>根据医保协议约定应当解除医保协议的；</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（十四）由经办机构核实确认后，定点医疗机构自最近一次发生医保费用结算之日起，连续超过6个月未发生任何医保结算业务的（含个人账户支付及医保统筹基金支付）；</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方正仿宋_GBK" w:cs="Times New Roman"/>
        </w:rPr>
      </w:pPr>
      <w:r>
        <w:rPr>
          <w:rFonts w:hint="default" w:ascii="Times New Roman" w:hAnsi="Times New Roman" w:eastAsia="方正仿宋_GBK" w:cs="Times New Roman"/>
          <w:lang w:val="en-US" w:eastAsia="zh-CN"/>
        </w:rPr>
        <w:t>（十五）</w:t>
      </w:r>
      <w:r>
        <w:rPr>
          <w:rFonts w:hint="default" w:ascii="Times New Roman" w:hAnsi="Times New Roman" w:eastAsia="方正仿宋_GBK" w:cs="Times New Roman"/>
          <w:lang w:val="en-US" w:eastAsia="en-US"/>
        </w:rPr>
        <w:t>法律法规和规章规定的应当解除的其他情形。</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方正仿宋_GBK" w:cs="Times New Roman"/>
          <w:lang w:val="en-US" w:eastAsia="zh-CN"/>
        </w:rPr>
      </w:pPr>
      <w:r>
        <w:rPr>
          <w:rFonts w:hint="eastAsia" w:ascii="方正黑体_GBK" w:hAnsi="方正黑体_GBK" w:eastAsia="方正黑体_GBK" w:cs="方正黑体_GBK"/>
          <w:lang w:val="en-US" w:eastAsia="zh-CN"/>
        </w:rPr>
        <w:t>第二十二条</w:t>
      </w:r>
      <w:r>
        <w:rPr>
          <w:rFonts w:hint="default" w:ascii="Times New Roman" w:hAnsi="Times New Roman" w:eastAsia="方正仿宋_GBK" w:cs="Times New Roman"/>
          <w:lang w:val="en-US" w:eastAsia="zh-CN"/>
        </w:rPr>
        <w:t xml:space="preserve"> 定点零售药店在履行协议期间，出现下列情形之一的，经办机构应解除其医保协议，责令其退出定点服务：</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（一）经核查，已不符合本办法第七条规定的准入基本条件的；</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（二）医保协议有效期内累计2次及以上被中止医保协议或中止医保协议期间未按要求整改或整改不到位的；</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（三）发生重大药品质量安全事件的；</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（四）以弄虚作假等不正当手段申请取得定点的；</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（五）以伪造、变造医保药品“进、销、存”票据和账目、伪造处方或参保人员费用清单等方式，骗取医疗保障基金的；</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（六）将非医保药品或其他商品串换成医保药品，倒卖医保药品或套取医疗保障基金的；</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（七）为非定点零售药店、中止医保协议期间的定点零售药店或其他机构进行医保费用结算的；</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（八）将医保结算设备转借或赠与他人，改变使用场地的；</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（九）拒绝、阻挠或不配合经办机构开展智能审核、绩效考核等，情节恶劣的；</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（十）被发现重大信息发生变更但未办理变更的；</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（十一）医疗保障行政部门或有关执法机构在行政执法中，发现定点零售药店存在重大违法违规行为且可能造成医疗保障基金重大损失的；</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（十二）被吊销、注销药品经营许可证或营业执照的；</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（十三）未依法履行医疗保障行政部门作出的行政处罚决定的；</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（十四）法定代表人、企业负责人或实际控制人不能履行医保协议约定，或有违法失信行为的；</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十五）因定点零售药店连锁经营企业总部法定代表人、企业负责人或实际控制人违法违规导致连锁零售药店其中一家分支零售药店被解除医保协议的，相同法定代表人、企业负责人或实际控制人的其他分支零售药店同时解除医保协议；</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（十六）根据医保协议约定应当解除协议的；</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（十七）经经办机构核实确认后，定点零售药店自最近一次发生医保费用结算之日起，连续超过6个月未发生任何医保结算业务的（含个人账户支付及医保统筹基金支付）；</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（十八）法律法规和规章规定的其他应当解除的情形。</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方正仿宋_GBK" w:cs="Times New Roman"/>
          <w:lang w:val="en-US" w:eastAsia="zh-CN"/>
        </w:rPr>
      </w:pPr>
      <w:r>
        <w:rPr>
          <w:rFonts w:hint="eastAsia" w:ascii="方正黑体_GBK" w:hAnsi="方正黑体_GBK" w:eastAsia="方正黑体_GBK" w:cs="方正黑体_GBK"/>
          <w:lang w:val="en-US" w:eastAsia="zh-CN"/>
        </w:rPr>
        <w:t>第二十三条</w:t>
      </w:r>
      <w:r>
        <w:rPr>
          <w:rFonts w:hint="default" w:ascii="Times New Roman" w:hAnsi="Times New Roman" w:eastAsia="方正仿宋_GBK" w:cs="Times New Roman"/>
        </w:rPr>
        <w:t xml:space="preserve"> </w:t>
      </w:r>
      <w:r>
        <w:rPr>
          <w:rFonts w:hint="default" w:ascii="Times New Roman" w:hAnsi="Times New Roman" w:eastAsia="方正仿宋_GBK" w:cs="Times New Roman"/>
          <w:lang w:val="en-US" w:eastAsia="zh-CN"/>
        </w:rPr>
        <w:t>定点医药机构被解除或终止医保协议后，经办机构应及时报同级医疗保障行政部门及市级医保经办机构备案，由市级医保经办机构向社会公布。</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0" w:firstLineChars="0"/>
        <w:jc w:val="center"/>
        <w:textAlignment w:val="auto"/>
        <w:rPr>
          <w:rFonts w:hint="default" w:ascii="Times New Roman" w:hAnsi="Times New Roman" w:eastAsia="方正黑体_GBK" w:cs="Times New Roman"/>
        </w:rPr>
      </w:pPr>
      <w:r>
        <w:rPr>
          <w:rFonts w:hint="default" w:ascii="Times New Roman" w:hAnsi="Times New Roman" w:eastAsia="方正黑体_GBK" w:cs="Times New Roman"/>
        </w:rPr>
        <w:t>第七章 监督管理</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方正仿宋_GBK" w:cs="Times New Roman"/>
          <w:lang w:val="en-US" w:eastAsia="zh-CN"/>
        </w:rPr>
      </w:pPr>
      <w:r>
        <w:rPr>
          <w:rFonts w:hint="eastAsia" w:ascii="方正黑体_GBK" w:hAnsi="方正黑体_GBK" w:eastAsia="方正黑体_GBK" w:cs="方正黑体_GBK"/>
          <w:lang w:val="en-US" w:eastAsia="zh-CN"/>
        </w:rPr>
        <w:t>第二十四条</w:t>
      </w:r>
      <w:r>
        <w:rPr>
          <w:rFonts w:hint="default" w:ascii="Times New Roman" w:hAnsi="Times New Roman" w:eastAsia="方正仿宋_GBK" w:cs="Times New Roman"/>
        </w:rPr>
        <w:t xml:space="preserve"> </w:t>
      </w:r>
      <w:r>
        <w:rPr>
          <w:rFonts w:hint="default" w:ascii="Times New Roman" w:hAnsi="Times New Roman" w:eastAsia="方正仿宋_GBK" w:cs="Times New Roman"/>
          <w:lang w:val="en-US" w:eastAsia="zh-CN"/>
        </w:rPr>
        <w:t>医疗保障行政部门及经办机构应加强对定点医药机构的监督管理，重点监督其医疗服务行为、医疗费用、药品及耗材使用、医保政策执行等情况，确保医疗保障基金安全、合理、有效使用。</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方正仿宋_GBK" w:cs="Times New Roman"/>
          <w:lang w:val="en-US" w:eastAsia="zh-CN"/>
        </w:rPr>
      </w:pPr>
      <w:r>
        <w:rPr>
          <w:rFonts w:hint="eastAsia" w:ascii="方正黑体_GBK" w:hAnsi="方正黑体_GBK" w:eastAsia="方正黑体_GBK" w:cs="方正黑体_GBK"/>
          <w:lang w:val="en-US" w:eastAsia="zh-CN"/>
        </w:rPr>
        <w:t>第二十五条</w:t>
      </w:r>
      <w:r>
        <w:rPr>
          <w:rFonts w:hint="default" w:ascii="Times New Roman" w:hAnsi="Times New Roman" w:eastAsia="方正楷体_GBK" w:cs="Times New Roman"/>
          <w:lang w:val="en-US" w:eastAsia="zh-CN"/>
        </w:rPr>
        <w:t xml:space="preserve"> </w:t>
      </w:r>
      <w:r>
        <w:rPr>
          <w:rFonts w:hint="default" w:ascii="Times New Roman" w:hAnsi="Times New Roman" w:eastAsia="方正仿宋_GBK" w:cs="Times New Roman"/>
          <w:lang w:val="en-US" w:eastAsia="zh-CN"/>
        </w:rPr>
        <w:t>经办机构应通过日常巡查、专项检查、智能监控、数据分析、病历审核、受理举报投诉等多种方式，对定点医药机构履行医保协议、规范诊疗行为、合理控制医疗费用等情况进行全过程监督。</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方正仿宋_GBK" w:cs="Times New Roman"/>
          <w:lang w:val="en-US" w:eastAsia="zh-CN"/>
        </w:rPr>
      </w:pPr>
      <w:r>
        <w:rPr>
          <w:rFonts w:hint="eastAsia" w:ascii="方正黑体_GBK" w:hAnsi="方正黑体_GBK" w:eastAsia="方正黑体_GBK" w:cs="方正黑体_GBK"/>
          <w:lang w:val="en-US" w:eastAsia="zh-CN"/>
        </w:rPr>
        <w:t>第二十六条</w:t>
      </w:r>
      <w:r>
        <w:rPr>
          <w:rFonts w:hint="default" w:ascii="Times New Roman" w:hAnsi="Times New Roman" w:eastAsia="方正楷体_GBK" w:cs="Times New Roman"/>
          <w:lang w:val="en-US" w:eastAsia="zh-CN"/>
        </w:rPr>
        <w:t xml:space="preserve"> </w:t>
      </w:r>
      <w:r>
        <w:rPr>
          <w:rFonts w:hint="default" w:ascii="Times New Roman" w:hAnsi="Times New Roman" w:eastAsia="方正仿宋_GBK" w:cs="Times New Roman"/>
          <w:lang w:val="en-US" w:eastAsia="zh-CN"/>
        </w:rPr>
        <w:t>定点医药机构应加强内部管理，建立健全与医保管理相适应的规章制度，规范医疗服务和收费行为，主动配合医疗保障部门的监督检查，及时整改发现的问题。</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方正仿宋_GBK" w:cs="Times New Roman"/>
          <w:lang w:val="en-US" w:eastAsia="zh-CN"/>
        </w:rPr>
      </w:pPr>
      <w:r>
        <w:rPr>
          <w:rFonts w:hint="eastAsia" w:ascii="方正黑体_GBK" w:hAnsi="方正黑体_GBK" w:eastAsia="方正黑体_GBK" w:cs="方正黑体_GBK"/>
          <w:lang w:val="en-US" w:eastAsia="zh-CN"/>
        </w:rPr>
        <w:t>第二十七条</w:t>
      </w:r>
      <w:r>
        <w:rPr>
          <w:rFonts w:hint="default" w:ascii="Times New Roman" w:hAnsi="Times New Roman" w:eastAsia="方正楷体_GBK" w:cs="Times New Roman"/>
          <w:lang w:val="en-US" w:eastAsia="zh-CN"/>
        </w:rPr>
        <w:t xml:space="preserve"> </w:t>
      </w:r>
      <w:r>
        <w:rPr>
          <w:rFonts w:hint="default" w:ascii="Times New Roman" w:hAnsi="Times New Roman" w:eastAsia="方正仿宋_GBK" w:cs="Times New Roman"/>
        </w:rPr>
        <w:t>对于</w:t>
      </w:r>
      <w:r>
        <w:rPr>
          <w:rFonts w:hint="default" w:ascii="Times New Roman" w:hAnsi="Times New Roman" w:eastAsia="方正仿宋_GBK" w:cs="Times New Roman"/>
          <w:lang w:eastAsia="zh-CN"/>
        </w:rPr>
        <w:t>定点</w:t>
      </w:r>
      <w:r>
        <w:rPr>
          <w:rFonts w:hint="default" w:ascii="Times New Roman" w:hAnsi="Times New Roman" w:eastAsia="方正仿宋_GBK" w:cs="Times New Roman"/>
        </w:rPr>
        <w:t>医</w:t>
      </w:r>
      <w:r>
        <w:rPr>
          <w:rFonts w:hint="default" w:ascii="Times New Roman" w:hAnsi="Times New Roman" w:eastAsia="方正仿宋_GBK" w:cs="Times New Roman"/>
          <w:lang w:eastAsia="zh-CN"/>
        </w:rPr>
        <w:t>药</w:t>
      </w:r>
      <w:r>
        <w:rPr>
          <w:rFonts w:hint="default" w:ascii="Times New Roman" w:hAnsi="Times New Roman" w:eastAsia="方正仿宋_GBK" w:cs="Times New Roman"/>
        </w:rPr>
        <w:t>机构的违法违规违约行为，医疗保障行政部门和经办机构应依法依规依约予以处理，并将处理结果纳入医疗保障信用管理体系。</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0" w:firstLineChars="0"/>
        <w:jc w:val="center"/>
        <w:textAlignment w:val="auto"/>
        <w:rPr>
          <w:rFonts w:hint="default" w:ascii="Times New Roman" w:hAnsi="Times New Roman" w:eastAsia="方正仿宋_GBK" w:cs="Times New Roman"/>
        </w:rPr>
      </w:pPr>
      <w:r>
        <w:rPr>
          <w:rFonts w:hint="default" w:ascii="Times New Roman" w:hAnsi="Times New Roman" w:eastAsia="方正黑体_GBK" w:cs="Times New Roman"/>
        </w:rPr>
        <w:t>第八章 附 则</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方正仿宋_GBK" w:cs="Times New Roman"/>
          <w:lang w:val="en-US" w:eastAsia="zh-CN"/>
        </w:rPr>
      </w:pPr>
      <w:r>
        <w:rPr>
          <w:rFonts w:hint="eastAsia" w:ascii="方正黑体_GBK" w:hAnsi="方正黑体_GBK" w:eastAsia="方正黑体_GBK" w:cs="方正黑体_GBK"/>
          <w:lang w:val="en-US" w:eastAsia="zh-CN"/>
        </w:rPr>
        <w:t>第二十八条</w:t>
      </w:r>
      <w:r>
        <w:rPr>
          <w:rFonts w:hint="default" w:ascii="Times New Roman" w:hAnsi="Times New Roman" w:eastAsia="方正楷体_GBK" w:cs="Times New Roman"/>
          <w:lang w:val="en-US" w:eastAsia="zh-CN"/>
        </w:rPr>
        <w:t xml:space="preserve"> </w:t>
      </w:r>
      <w:r>
        <w:rPr>
          <w:rFonts w:hint="default" w:ascii="Times New Roman" w:hAnsi="Times New Roman" w:eastAsia="方正仿宋_GBK" w:cs="Times New Roman"/>
          <w:lang w:val="en-US" w:eastAsia="zh-CN"/>
        </w:rPr>
        <w:t>定点医药机构的申请、受理、评估等工作必须坚持公开、公平、公正原则，主动接受社会监督。医疗保障行政部门应当加强对评估工作的监督和管理。经办机构或受委托的第三方机构及其工作人员在评估工作中不得弄虚作假、违规操作。</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方正仿宋_GBK" w:cs="Times New Roman"/>
          <w:lang w:val="en-US" w:eastAsia="zh-CN"/>
        </w:rPr>
      </w:pPr>
      <w:r>
        <w:rPr>
          <w:rFonts w:hint="eastAsia" w:ascii="方正黑体_GBK" w:hAnsi="方正黑体_GBK" w:eastAsia="方正黑体_GBK" w:cs="方正黑体_GBK"/>
          <w:lang w:val="en-US" w:eastAsia="zh-CN"/>
        </w:rPr>
        <w:t>第二十九条</w:t>
      </w:r>
      <w:r>
        <w:rPr>
          <w:rFonts w:hint="default" w:ascii="Times New Roman" w:hAnsi="Times New Roman" w:eastAsia="方正仿宋_GBK" w:cs="Times New Roman"/>
          <w:lang w:val="en-US" w:eastAsia="zh-CN"/>
        </w:rPr>
        <w:t xml:space="preserve">  村卫生室的准入退出管理仍按原文件规定执行。</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方正仿宋_GBK" w:cs="Times New Roman"/>
          <w:lang w:val="en-US" w:eastAsia="zh-CN"/>
        </w:rPr>
      </w:pPr>
      <w:r>
        <w:rPr>
          <w:rFonts w:hint="eastAsia" w:ascii="方正黑体_GBK" w:hAnsi="方正黑体_GBK" w:eastAsia="方正黑体_GBK" w:cs="方正黑体_GBK"/>
          <w:lang w:val="en-US" w:eastAsia="zh-CN"/>
        </w:rPr>
        <w:t>第三十条</w:t>
      </w:r>
      <w:r>
        <w:rPr>
          <w:rFonts w:hint="default" w:ascii="Times New Roman" w:hAnsi="Times New Roman" w:eastAsia="方正仿宋_GBK" w:cs="Times New Roman"/>
        </w:rPr>
        <w:t xml:space="preserve"> </w:t>
      </w:r>
      <w:r>
        <w:rPr>
          <w:rFonts w:hint="default" w:ascii="Times New Roman" w:hAnsi="Times New Roman" w:eastAsia="方正仿宋_GBK" w:cs="Times New Roman"/>
          <w:lang w:val="en-US" w:eastAsia="zh-CN"/>
        </w:rPr>
        <w:t>在《</w:t>
      </w:r>
      <w:r>
        <w:rPr>
          <w:rFonts w:hint="default" w:ascii="Times New Roman" w:hAnsi="Times New Roman" w:eastAsia="方正仿宋_GBK" w:cs="Times New Roman"/>
          <w:lang w:eastAsia="zh-CN"/>
        </w:rPr>
        <w:t>芜湖市医疗保障定点医药机构资源配置规划（2026-2028年）</w:t>
      </w:r>
      <w:r>
        <w:rPr>
          <w:rFonts w:hint="default" w:ascii="Times New Roman" w:hAnsi="Times New Roman" w:eastAsia="方正仿宋_GBK" w:cs="Times New Roman"/>
          <w:lang w:val="en-US" w:eastAsia="zh-CN"/>
        </w:rPr>
        <w:t>》正式实施前已取得医疗机构执业许可证、诊所备案凭证或中医诊所备案凭证的医疗机构，以及已取得药品经营许可证的零售药店，2026年6月30日前，提出医保定点申请的，仍按原定点申请程序及相关规定执行。</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方正仿宋_GBK" w:cs="Times New Roman"/>
        </w:rPr>
      </w:pPr>
      <w:r>
        <w:rPr>
          <w:rFonts w:hint="eastAsia" w:ascii="方正黑体_GBK" w:hAnsi="方正黑体_GBK" w:eastAsia="方正黑体_GBK" w:cs="方正黑体_GBK"/>
          <w:lang w:val="en-US" w:eastAsia="zh-CN"/>
        </w:rPr>
        <w:t>第三十一条</w:t>
      </w:r>
      <w:r>
        <w:rPr>
          <w:rFonts w:hint="default" w:ascii="Times New Roman" w:hAnsi="Times New Roman" w:eastAsia="方正楷体_GBK" w:cs="Times New Roman"/>
          <w:lang w:val="en-US" w:eastAsia="zh-CN"/>
        </w:rPr>
        <w:t xml:space="preserve"> </w:t>
      </w:r>
      <w:r>
        <w:rPr>
          <w:rFonts w:hint="default" w:ascii="Times New Roman" w:hAnsi="Times New Roman" w:eastAsia="方正仿宋_GBK" w:cs="Times New Roman"/>
          <w:lang w:val="en-US" w:eastAsia="zh-CN"/>
        </w:rPr>
        <w:t>本办法未尽事宜，按照《医疗机构医疗保障定点管理暂行办法》（国家医疗保障局令第2号）、《零售药店医疗保障定点管理暂行办法》（国家医疗保障局令第3号）及国家、省、市其他相关规定执行。</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方正仿宋_GBK" w:cs="Times New Roman"/>
          <w:lang w:val="en-US" w:eastAsia="zh-CN"/>
        </w:rPr>
      </w:pPr>
      <w:r>
        <w:rPr>
          <w:rFonts w:hint="eastAsia" w:ascii="方正黑体_GBK" w:hAnsi="方正黑体_GBK" w:eastAsia="方正黑体_GBK" w:cs="方正黑体_GBK"/>
          <w:lang w:val="en-US" w:eastAsia="zh-CN"/>
        </w:rPr>
        <w:t>第三十二条</w:t>
      </w:r>
      <w:r>
        <w:rPr>
          <w:rFonts w:hint="default" w:ascii="Times New Roman" w:hAnsi="Times New Roman" w:eastAsia="方正仿宋_GBK" w:cs="Times New Roman"/>
        </w:rPr>
        <w:t xml:space="preserve"> </w:t>
      </w:r>
      <w:r>
        <w:rPr>
          <w:rFonts w:hint="default" w:ascii="Times New Roman" w:hAnsi="Times New Roman" w:eastAsia="方正仿宋_GBK" w:cs="Times New Roman"/>
          <w:lang w:val="en-US" w:eastAsia="zh-CN"/>
        </w:rPr>
        <w:t>本办法施行前已确定的定点医药机构，可继续履行原协议。协议期满后，由经办机构按本办法规定组织协议续签工作。</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方正仿宋_GBK" w:cs="Times New Roman"/>
          <w:lang w:val="en-US" w:eastAsia="zh-CN"/>
        </w:rPr>
      </w:pPr>
      <w:r>
        <w:rPr>
          <w:rFonts w:hint="eastAsia" w:ascii="方正黑体_GBK" w:hAnsi="方正黑体_GBK" w:eastAsia="方正黑体_GBK" w:cs="方正黑体_GBK"/>
          <w:lang w:val="en-US" w:eastAsia="zh-CN"/>
        </w:rPr>
        <w:t>第三十三条</w:t>
      </w:r>
      <w:r>
        <w:rPr>
          <w:rFonts w:hint="default" w:ascii="Times New Roman" w:hAnsi="Times New Roman" w:eastAsia="方正仿宋_GBK" w:cs="Times New Roman"/>
        </w:rPr>
        <w:t xml:space="preserve"> </w:t>
      </w:r>
      <w:r>
        <w:rPr>
          <w:rFonts w:hint="default" w:ascii="Times New Roman" w:hAnsi="Times New Roman" w:eastAsia="方正仿宋_GBK" w:cs="Times New Roman"/>
          <w:lang w:val="en-US" w:eastAsia="zh-CN"/>
        </w:rPr>
        <w:t>本办法由芜湖市医疗保障局负责解释。</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方正仿宋_GBK" w:cs="Times New Roman"/>
          <w:lang w:val="en-US" w:eastAsia="zh-CN"/>
        </w:rPr>
      </w:pPr>
      <w:r>
        <w:rPr>
          <w:rFonts w:hint="eastAsia" w:ascii="方正黑体_GBK" w:hAnsi="方正黑体_GBK" w:eastAsia="方正黑体_GBK" w:cs="方正黑体_GBK"/>
          <w:lang w:val="en-US" w:eastAsia="zh-CN"/>
        </w:rPr>
        <w:t>第三十四条</w:t>
      </w:r>
      <w:r>
        <w:rPr>
          <w:rFonts w:hint="default" w:ascii="Times New Roman" w:hAnsi="Times New Roman" w:eastAsia="方正仿宋_GBK" w:cs="Times New Roman"/>
        </w:rPr>
        <w:t xml:space="preserve"> </w:t>
      </w:r>
      <w:r>
        <w:rPr>
          <w:rFonts w:hint="default" w:ascii="Times New Roman" w:hAnsi="Times New Roman" w:eastAsia="方正仿宋_GBK" w:cs="Times New Roman"/>
          <w:lang w:val="en-US" w:eastAsia="zh-CN"/>
        </w:rPr>
        <w:t>本办法自发布之日起施行。本市原有规定与本办法不一致的，以本办法为准。如遇国家、省政策调整，从其规定。</w:t>
      </w:r>
      <w:bookmarkEnd w:id="0"/>
    </w:p>
    <w:p>
      <w:pPr>
        <w:pStyle w:val="2"/>
        <w:keepNext w:val="0"/>
        <w:keepLines w:val="0"/>
        <w:pageBreakBefore w:val="0"/>
        <w:widowControl w:val="0"/>
        <w:kinsoku/>
        <w:wordWrap/>
        <w:overflowPunct/>
        <w:topLinePunct w:val="0"/>
        <w:autoSpaceDE/>
        <w:autoSpaceDN/>
        <w:bidi w:val="0"/>
        <w:adjustRightInd/>
        <w:spacing w:line="590" w:lineRule="exact"/>
        <w:textAlignment w:val="auto"/>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附件：1.芜湖市基本医疗保险定点医疗机构申请表</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1600" w:firstLineChars="500"/>
        <w:jc w:val="left"/>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2.芜湖市基本医疗保险定点零售药店申请表</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1600" w:firstLineChars="500"/>
        <w:jc w:val="left"/>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3.芜湖市基本医疗保险定点医疗机构评分标准表</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1600" w:firstLineChars="500"/>
        <w:jc w:val="left"/>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4.芜湖市基本医疗保险定点零售药店评分标准表</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1600" w:firstLineChars="500"/>
        <w:jc w:val="left"/>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5.医药机构定点评估结果告知书</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1600" w:firstLineChars="500"/>
        <w:jc w:val="left"/>
        <w:textAlignment w:val="auto"/>
        <w:rPr>
          <w:rFonts w:hint="default" w:ascii="Times New Roman" w:hAnsi="Times New Roman" w:eastAsia="方正仿宋_GBK" w:cs="Times New Roman"/>
          <w:lang w:eastAsia="zh-CN"/>
        </w:rPr>
      </w:pPr>
      <w:r>
        <w:rPr>
          <w:rFonts w:hint="default" w:ascii="Times New Roman" w:hAnsi="Times New Roman" w:eastAsia="方正仿宋_GBK" w:cs="Times New Roman"/>
          <w:lang w:val="en-US" w:eastAsia="zh-CN"/>
        </w:rPr>
        <w:t>6.承诺书</w:t>
      </w:r>
    </w:p>
    <w:p>
      <w:pPr>
        <w:keepNext w:val="0"/>
        <w:keepLines w:val="0"/>
        <w:pageBreakBefore w:val="0"/>
        <w:widowControl w:val="0"/>
        <w:kinsoku/>
        <w:wordWrap/>
        <w:overflowPunct/>
        <w:topLinePunct w:val="0"/>
        <w:autoSpaceDE/>
        <w:autoSpaceDN/>
        <w:bidi w:val="0"/>
        <w:adjustRightInd/>
        <w:snapToGrid/>
        <w:spacing w:line="590" w:lineRule="exact"/>
        <w:ind w:left="0" w:leftChars="0"/>
        <w:jc w:val="left"/>
        <w:textAlignment w:val="auto"/>
      </w:pPr>
    </w:p>
    <w:p>
      <w:pPr>
        <w:keepNext w:val="0"/>
        <w:keepLines w:val="0"/>
        <w:pageBreakBefore w:val="0"/>
        <w:widowControl w:val="0"/>
        <w:kinsoku/>
        <w:wordWrap/>
        <w:overflowPunct/>
        <w:topLinePunct w:val="0"/>
        <w:autoSpaceDE/>
        <w:autoSpaceDN/>
        <w:bidi w:val="0"/>
        <w:adjustRightInd/>
        <w:snapToGrid/>
        <w:spacing w:line="590" w:lineRule="exact"/>
        <w:ind w:left="0" w:leftChars="0"/>
        <w:jc w:val="left"/>
        <w:textAlignment w:val="auto"/>
        <w:rPr>
          <w:color w:val="auto"/>
          <w:szCs w:val="32"/>
        </w:rPr>
      </w:pPr>
    </w:p>
    <w:p>
      <w:pPr>
        <w:keepNext w:val="0"/>
        <w:keepLines w:val="0"/>
        <w:pageBreakBefore w:val="0"/>
        <w:widowControl w:val="0"/>
        <w:kinsoku/>
        <w:wordWrap/>
        <w:overflowPunct/>
        <w:topLinePunct w:val="0"/>
        <w:autoSpaceDE/>
        <w:autoSpaceDN/>
        <w:bidi w:val="0"/>
        <w:adjustRightInd/>
        <w:snapToGrid/>
        <w:spacing w:line="590" w:lineRule="exact"/>
        <w:ind w:left="0" w:leftChars="0"/>
        <w:jc w:val="left"/>
        <w:textAlignment w:val="auto"/>
        <w:rPr>
          <w:rFonts w:hint="default"/>
        </w:rPr>
      </w:pPr>
    </w:p>
    <w:p>
      <w:pPr>
        <w:pStyle w:val="6"/>
        <w:keepNext w:val="0"/>
        <w:keepLines w:val="0"/>
        <w:pageBreakBefore w:val="0"/>
        <w:widowControl w:val="0"/>
        <w:kinsoku/>
        <w:wordWrap/>
        <w:overflowPunct/>
        <w:topLinePunct w:val="0"/>
        <w:autoSpaceDE/>
        <w:autoSpaceDN/>
        <w:bidi w:val="0"/>
        <w:adjustRightInd/>
        <w:snapToGrid/>
        <w:spacing w:line="590" w:lineRule="exact"/>
        <w:ind w:left="0" w:leftChars="0"/>
        <w:jc w:val="left"/>
        <w:textAlignment w:val="auto"/>
        <w:rPr>
          <w:rFonts w:hint="default"/>
        </w:rPr>
      </w:pPr>
    </w:p>
    <w:p>
      <w:pPr>
        <w:keepNext w:val="0"/>
        <w:keepLines w:val="0"/>
        <w:pageBreakBefore w:val="0"/>
        <w:widowControl w:val="0"/>
        <w:kinsoku/>
        <w:wordWrap/>
        <w:overflowPunct/>
        <w:topLinePunct w:val="0"/>
        <w:autoSpaceDE/>
        <w:autoSpaceDN/>
        <w:bidi w:val="0"/>
        <w:adjustRightInd/>
        <w:snapToGrid/>
        <w:spacing w:line="590" w:lineRule="exact"/>
        <w:textAlignment w:val="auto"/>
        <w:rPr>
          <w:rFonts w:hint="eastAsia" w:ascii="方正黑体_GBK" w:hAnsi="方正黑体_GBK" w:eastAsia="方正黑体_GBK" w:cs="方正黑体_GBK"/>
          <w:b w:val="0"/>
          <w:bCs w:val="0"/>
        </w:rPr>
      </w:pPr>
      <w:r>
        <w:rPr>
          <w:rFonts w:hint="eastAsia" w:ascii="方正黑体_GBK" w:hAnsi="方正黑体_GBK" w:eastAsia="方正黑体_GBK" w:cs="方正黑体_GBK"/>
          <w:b w:val="0"/>
          <w:bCs w:val="0"/>
        </w:rPr>
        <w:t>附件1</w:t>
      </w:r>
    </w:p>
    <w:p>
      <w:pPr>
        <w:pStyle w:val="2"/>
        <w:rPr>
          <w:rFonts w:hint="eastAsia"/>
        </w:rPr>
      </w:pPr>
    </w:p>
    <w:p>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芜湖市基本医疗保险定点医疗机构申请表</w:t>
      </w:r>
    </w:p>
    <w:p>
      <w:pPr>
        <w:pStyle w:val="2"/>
        <w:rPr>
          <w:rFonts w:hint="eastAsia"/>
        </w:rPr>
      </w:pPr>
    </w:p>
    <w:tbl>
      <w:tblPr>
        <w:tblStyle w:val="22"/>
        <w:tblW w:w="86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200"/>
        <w:gridCol w:w="379"/>
        <w:gridCol w:w="754"/>
        <w:gridCol w:w="1083"/>
        <w:gridCol w:w="857"/>
        <w:gridCol w:w="710"/>
        <w:gridCol w:w="190"/>
        <w:gridCol w:w="962"/>
        <w:gridCol w:w="779"/>
        <w:gridCol w:w="662"/>
        <w:gridCol w:w="1120"/>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8" w:hRule="atLeast"/>
          <w:jc w:val="center"/>
        </w:trPr>
        <w:tc>
          <w:tcPr>
            <w:tcW w:w="1200" w:type="dxa"/>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color w:val="auto"/>
                <w:highlight w:val="none"/>
              </w:rPr>
            </w:pPr>
            <w:r>
              <w:rPr>
                <w:color w:val="auto"/>
                <w:spacing w:val="-6"/>
                <w:highlight w:val="none"/>
              </w:rPr>
              <w:t>单位</w:t>
            </w:r>
          </w:p>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color w:val="auto"/>
                <w:highlight w:val="none"/>
              </w:rPr>
            </w:pPr>
            <w:r>
              <w:rPr>
                <w:color w:val="auto"/>
                <w:spacing w:val="-7"/>
                <w:highlight w:val="none"/>
              </w:rPr>
              <w:t>名称</w:t>
            </w:r>
          </w:p>
        </w:tc>
        <w:tc>
          <w:tcPr>
            <w:tcW w:w="7496" w:type="dxa"/>
            <w:gridSpan w:val="10"/>
            <w:noWrap w:val="0"/>
            <w:vAlign w:val="center"/>
          </w:tcPr>
          <w:p>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ascii="Arial"/>
                <w:color w:val="auto"/>
                <w:sz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52" w:hRule="atLeast"/>
          <w:jc w:val="center"/>
        </w:trPr>
        <w:tc>
          <w:tcPr>
            <w:tcW w:w="1200" w:type="dxa"/>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r>
              <w:rPr>
                <w:rFonts w:ascii="宋体" w:hAnsi="宋体" w:eastAsia="宋体" w:cs="宋体"/>
                <w:color w:val="auto"/>
                <w:spacing w:val="-6"/>
                <w:highlight w:val="none"/>
              </w:rPr>
              <w:t>单位</w:t>
            </w:r>
          </w:p>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r>
              <w:rPr>
                <w:rFonts w:ascii="宋体" w:hAnsi="宋体" w:eastAsia="宋体" w:cs="宋体"/>
                <w:color w:val="auto"/>
                <w:spacing w:val="-6"/>
                <w:highlight w:val="none"/>
              </w:rPr>
              <w:t>地址</w:t>
            </w:r>
          </w:p>
        </w:tc>
        <w:tc>
          <w:tcPr>
            <w:tcW w:w="7496" w:type="dxa"/>
            <w:gridSpan w:val="10"/>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16" w:hRule="atLeast"/>
          <w:jc w:val="center"/>
        </w:trPr>
        <w:tc>
          <w:tcPr>
            <w:tcW w:w="1200" w:type="dxa"/>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r>
              <w:rPr>
                <w:rFonts w:ascii="宋体" w:hAnsi="宋体" w:eastAsia="宋体" w:cs="宋体"/>
                <w:color w:val="auto"/>
                <w:spacing w:val="-6"/>
                <w:highlight w:val="none"/>
              </w:rPr>
              <w:t>机构</w:t>
            </w:r>
          </w:p>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r>
              <w:rPr>
                <w:rFonts w:ascii="宋体" w:hAnsi="宋体" w:eastAsia="宋体" w:cs="宋体"/>
                <w:color w:val="auto"/>
                <w:spacing w:val="-6"/>
                <w:highlight w:val="none"/>
              </w:rPr>
              <w:t>类别</w:t>
            </w:r>
          </w:p>
        </w:tc>
        <w:tc>
          <w:tcPr>
            <w:tcW w:w="1133" w:type="dxa"/>
            <w:gridSpan w:val="2"/>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c>
          <w:tcPr>
            <w:tcW w:w="1083" w:type="dxa"/>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r>
              <w:rPr>
                <w:rFonts w:ascii="宋体" w:hAnsi="宋体" w:eastAsia="宋体" w:cs="宋体"/>
                <w:color w:val="auto"/>
                <w:spacing w:val="-6"/>
                <w:highlight w:val="none"/>
              </w:rPr>
              <w:t>机构</w:t>
            </w:r>
          </w:p>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r>
              <w:rPr>
                <w:rFonts w:ascii="宋体" w:hAnsi="宋体" w:eastAsia="宋体" w:cs="宋体"/>
                <w:color w:val="auto"/>
                <w:spacing w:val="-6"/>
                <w:highlight w:val="none"/>
              </w:rPr>
              <w:t>代码</w:t>
            </w:r>
          </w:p>
        </w:tc>
        <w:tc>
          <w:tcPr>
            <w:tcW w:w="1567" w:type="dxa"/>
            <w:gridSpan w:val="2"/>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c>
          <w:tcPr>
            <w:tcW w:w="1931" w:type="dxa"/>
            <w:gridSpan w:val="3"/>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r>
              <w:rPr>
                <w:rFonts w:ascii="宋体" w:hAnsi="宋体" w:eastAsia="宋体" w:cs="宋体"/>
                <w:color w:val="auto"/>
                <w:spacing w:val="-6"/>
                <w:highlight w:val="none"/>
              </w:rPr>
              <w:t>医院</w:t>
            </w:r>
          </w:p>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r>
              <w:rPr>
                <w:rFonts w:ascii="宋体" w:hAnsi="宋体" w:eastAsia="宋体" w:cs="宋体"/>
                <w:color w:val="auto"/>
                <w:spacing w:val="-6"/>
                <w:highlight w:val="none"/>
              </w:rPr>
              <w:t>等级</w:t>
            </w:r>
          </w:p>
        </w:tc>
        <w:tc>
          <w:tcPr>
            <w:tcW w:w="1782" w:type="dxa"/>
            <w:gridSpan w:val="2"/>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6" w:hRule="atLeast"/>
          <w:jc w:val="center"/>
        </w:trPr>
        <w:tc>
          <w:tcPr>
            <w:tcW w:w="3416" w:type="dxa"/>
            <w:gridSpan w:val="4"/>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r>
              <w:rPr>
                <w:rFonts w:ascii="宋体" w:hAnsi="宋体" w:eastAsia="宋体" w:cs="宋体"/>
                <w:color w:val="auto"/>
                <w:spacing w:val="-6"/>
                <w:highlight w:val="none"/>
              </w:rPr>
              <w:t>基本医疗保险管理部门</w:t>
            </w:r>
          </w:p>
        </w:tc>
        <w:tc>
          <w:tcPr>
            <w:tcW w:w="5280" w:type="dxa"/>
            <w:gridSpan w:val="7"/>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1" w:hRule="atLeast"/>
          <w:jc w:val="center"/>
        </w:trPr>
        <w:tc>
          <w:tcPr>
            <w:tcW w:w="1579" w:type="dxa"/>
            <w:gridSpan w:val="2"/>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r>
              <w:rPr>
                <w:rFonts w:ascii="宋体" w:hAnsi="宋体" w:eastAsia="宋体" w:cs="宋体"/>
                <w:color w:val="auto"/>
                <w:spacing w:val="-6"/>
                <w:highlight w:val="none"/>
              </w:rPr>
              <w:t>法定代表人</w:t>
            </w:r>
          </w:p>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r>
              <w:rPr>
                <w:rFonts w:ascii="宋体" w:hAnsi="宋体" w:eastAsia="宋体" w:cs="宋体"/>
                <w:color w:val="auto"/>
                <w:spacing w:val="-6"/>
                <w:highlight w:val="none"/>
              </w:rPr>
              <w:t>及身份证号</w:t>
            </w:r>
          </w:p>
        </w:tc>
        <w:tc>
          <w:tcPr>
            <w:tcW w:w="2694" w:type="dxa"/>
            <w:gridSpan w:val="3"/>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c>
          <w:tcPr>
            <w:tcW w:w="900" w:type="dxa"/>
            <w:gridSpan w:val="2"/>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r>
              <w:rPr>
                <w:rFonts w:ascii="宋体" w:hAnsi="宋体" w:eastAsia="宋体" w:cs="宋体"/>
                <w:color w:val="auto"/>
                <w:spacing w:val="-6"/>
                <w:highlight w:val="none"/>
              </w:rPr>
              <w:t>联系</w:t>
            </w:r>
          </w:p>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r>
              <w:rPr>
                <w:rFonts w:ascii="宋体" w:hAnsi="宋体" w:eastAsia="宋体" w:cs="宋体"/>
                <w:color w:val="auto"/>
                <w:spacing w:val="-6"/>
                <w:highlight w:val="none"/>
              </w:rPr>
              <w:t>电话</w:t>
            </w:r>
          </w:p>
        </w:tc>
        <w:tc>
          <w:tcPr>
            <w:tcW w:w="3523" w:type="dxa"/>
            <w:gridSpan w:val="4"/>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1" w:hRule="atLeast"/>
          <w:jc w:val="center"/>
        </w:trPr>
        <w:tc>
          <w:tcPr>
            <w:tcW w:w="1579" w:type="dxa"/>
            <w:gridSpan w:val="2"/>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r>
              <w:rPr>
                <w:rFonts w:ascii="宋体" w:hAnsi="宋体" w:eastAsia="宋体" w:cs="宋体"/>
                <w:color w:val="auto"/>
                <w:spacing w:val="-6"/>
                <w:highlight w:val="none"/>
              </w:rPr>
              <w:t>医保专管员</w:t>
            </w:r>
          </w:p>
        </w:tc>
        <w:tc>
          <w:tcPr>
            <w:tcW w:w="2694" w:type="dxa"/>
            <w:gridSpan w:val="3"/>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c>
          <w:tcPr>
            <w:tcW w:w="900" w:type="dxa"/>
            <w:gridSpan w:val="2"/>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r>
              <w:rPr>
                <w:rFonts w:ascii="宋体" w:hAnsi="宋体" w:eastAsia="宋体" w:cs="宋体"/>
                <w:color w:val="auto"/>
                <w:spacing w:val="-6"/>
                <w:highlight w:val="none"/>
              </w:rPr>
              <w:t>联系</w:t>
            </w:r>
          </w:p>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r>
              <w:rPr>
                <w:rFonts w:ascii="宋体" w:hAnsi="宋体" w:eastAsia="宋体" w:cs="宋体"/>
                <w:color w:val="auto"/>
                <w:spacing w:val="-6"/>
                <w:highlight w:val="none"/>
              </w:rPr>
              <w:t>电话</w:t>
            </w:r>
          </w:p>
        </w:tc>
        <w:tc>
          <w:tcPr>
            <w:tcW w:w="3523" w:type="dxa"/>
            <w:gridSpan w:val="4"/>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57" w:hRule="atLeast"/>
          <w:jc w:val="center"/>
        </w:trPr>
        <w:tc>
          <w:tcPr>
            <w:tcW w:w="1579" w:type="dxa"/>
            <w:gridSpan w:val="2"/>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r>
              <w:rPr>
                <w:rFonts w:ascii="宋体" w:hAnsi="宋体" w:eastAsia="宋体" w:cs="宋体"/>
                <w:color w:val="auto"/>
                <w:spacing w:val="-6"/>
                <w:highlight w:val="none"/>
              </w:rPr>
              <w:t>财务专管员</w:t>
            </w:r>
          </w:p>
        </w:tc>
        <w:tc>
          <w:tcPr>
            <w:tcW w:w="2694" w:type="dxa"/>
            <w:gridSpan w:val="3"/>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c>
          <w:tcPr>
            <w:tcW w:w="900" w:type="dxa"/>
            <w:gridSpan w:val="2"/>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r>
              <w:rPr>
                <w:rFonts w:ascii="宋体" w:hAnsi="宋体" w:eastAsia="宋体" w:cs="宋体"/>
                <w:color w:val="auto"/>
                <w:spacing w:val="-6"/>
                <w:highlight w:val="none"/>
              </w:rPr>
              <w:t>联系</w:t>
            </w:r>
          </w:p>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r>
              <w:rPr>
                <w:rFonts w:ascii="宋体" w:hAnsi="宋体" w:eastAsia="宋体" w:cs="宋体"/>
                <w:color w:val="auto"/>
                <w:spacing w:val="-6"/>
                <w:highlight w:val="none"/>
              </w:rPr>
              <w:t>电话</w:t>
            </w:r>
          </w:p>
        </w:tc>
        <w:tc>
          <w:tcPr>
            <w:tcW w:w="3523" w:type="dxa"/>
            <w:gridSpan w:val="4"/>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38" w:hRule="atLeast"/>
          <w:jc w:val="center"/>
        </w:trPr>
        <w:tc>
          <w:tcPr>
            <w:tcW w:w="2333" w:type="dxa"/>
            <w:gridSpan w:val="3"/>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r>
              <w:rPr>
                <w:rFonts w:ascii="宋体" w:hAnsi="宋体" w:eastAsia="宋体" w:cs="宋体"/>
                <w:color w:val="auto"/>
                <w:spacing w:val="-6"/>
                <w:highlight w:val="none"/>
              </w:rPr>
              <w:t>执业许可证号</w:t>
            </w:r>
          </w:p>
        </w:tc>
        <w:tc>
          <w:tcPr>
            <w:tcW w:w="6363" w:type="dxa"/>
            <w:gridSpan w:val="8"/>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2" w:hRule="atLeast"/>
          <w:jc w:val="center"/>
        </w:trPr>
        <w:tc>
          <w:tcPr>
            <w:tcW w:w="2333" w:type="dxa"/>
            <w:gridSpan w:val="3"/>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r>
              <w:rPr>
                <w:rFonts w:ascii="宋体" w:hAnsi="宋体" w:eastAsia="宋体" w:cs="宋体"/>
                <w:color w:val="auto"/>
                <w:spacing w:val="-6"/>
                <w:highlight w:val="none"/>
              </w:rPr>
              <w:t>单位开户行及户名</w:t>
            </w:r>
          </w:p>
        </w:tc>
        <w:tc>
          <w:tcPr>
            <w:tcW w:w="1940" w:type="dxa"/>
            <w:gridSpan w:val="2"/>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c>
          <w:tcPr>
            <w:tcW w:w="900" w:type="dxa"/>
            <w:gridSpan w:val="2"/>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r>
              <w:rPr>
                <w:rFonts w:hint="eastAsia" w:ascii="宋体" w:hAnsi="宋体" w:eastAsia="宋体" w:cs="宋体"/>
                <w:color w:val="auto"/>
                <w:spacing w:val="-6"/>
                <w:highlight w:val="none"/>
                <w:lang w:val="en-US" w:eastAsia="zh-CN"/>
              </w:rPr>
              <w:t>账</w:t>
            </w:r>
            <w:r>
              <w:rPr>
                <w:rFonts w:ascii="宋体" w:hAnsi="宋体" w:eastAsia="宋体" w:cs="宋体"/>
                <w:color w:val="auto"/>
                <w:spacing w:val="-6"/>
                <w:highlight w:val="none"/>
              </w:rPr>
              <w:t>号</w:t>
            </w:r>
          </w:p>
        </w:tc>
        <w:tc>
          <w:tcPr>
            <w:tcW w:w="3523" w:type="dxa"/>
            <w:gridSpan w:val="4"/>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3" w:hRule="atLeast"/>
          <w:jc w:val="center"/>
        </w:trPr>
        <w:tc>
          <w:tcPr>
            <w:tcW w:w="1200" w:type="dxa"/>
            <w:vMerge w:val="restart"/>
            <w:tcBorders>
              <w:bottom w:val="nil"/>
            </w:tcBorders>
            <w:noWrap w:val="0"/>
            <w:textDirection w:val="tbRlV"/>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hint="default" w:ascii="宋体" w:hAnsi="宋体" w:eastAsia="宋体" w:cs="宋体"/>
                <w:color w:val="auto"/>
                <w:spacing w:val="-6"/>
                <w:highlight w:val="none"/>
                <w:lang w:val="en-US" w:eastAsia="zh-CN"/>
              </w:rPr>
            </w:pPr>
            <w:r>
              <w:rPr>
                <w:rFonts w:ascii="宋体" w:hAnsi="宋体" w:eastAsia="宋体" w:cs="宋体"/>
                <w:color w:val="auto"/>
                <w:spacing w:val="-6"/>
                <w:highlight w:val="none"/>
              </w:rPr>
              <w:t>卫 生 技 术 人 员 构 成</w:t>
            </w:r>
          </w:p>
        </w:tc>
        <w:tc>
          <w:tcPr>
            <w:tcW w:w="1133" w:type="dxa"/>
            <w:gridSpan w:val="2"/>
            <w:vMerge w:val="restart"/>
            <w:tcBorders>
              <w:bottom w:val="nil"/>
            </w:tcBorders>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c>
          <w:tcPr>
            <w:tcW w:w="1083" w:type="dxa"/>
            <w:vMerge w:val="restart"/>
            <w:tcBorders>
              <w:bottom w:val="nil"/>
            </w:tcBorders>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r>
              <w:rPr>
                <w:rFonts w:ascii="宋体" w:hAnsi="宋体" w:eastAsia="宋体" w:cs="宋体"/>
                <w:color w:val="auto"/>
                <w:spacing w:val="-6"/>
                <w:highlight w:val="none"/>
              </w:rPr>
              <w:t>总人数</w:t>
            </w:r>
          </w:p>
        </w:tc>
        <w:tc>
          <w:tcPr>
            <w:tcW w:w="5280" w:type="dxa"/>
            <w:gridSpan w:val="7"/>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r>
              <w:rPr>
                <w:rFonts w:ascii="宋体" w:hAnsi="宋体" w:eastAsia="宋体" w:cs="宋体"/>
                <w:color w:val="auto"/>
                <w:spacing w:val="-6"/>
                <w:highlight w:val="none"/>
              </w:rPr>
              <w:t>其中</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0" w:hRule="atLeast"/>
          <w:jc w:val="center"/>
        </w:trPr>
        <w:tc>
          <w:tcPr>
            <w:tcW w:w="1200" w:type="dxa"/>
            <w:vMerge w:val="continue"/>
            <w:tcBorders>
              <w:top w:val="nil"/>
              <w:bottom w:val="nil"/>
            </w:tcBorders>
            <w:noWrap w:val="0"/>
            <w:textDirection w:val="tbRlV"/>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c>
          <w:tcPr>
            <w:tcW w:w="1133" w:type="dxa"/>
            <w:gridSpan w:val="2"/>
            <w:vMerge w:val="continue"/>
            <w:tcBorders>
              <w:top w:val="nil"/>
            </w:tcBorders>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c>
          <w:tcPr>
            <w:tcW w:w="1083" w:type="dxa"/>
            <w:vMerge w:val="continue"/>
            <w:tcBorders>
              <w:top w:val="nil"/>
            </w:tcBorders>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c>
          <w:tcPr>
            <w:tcW w:w="1567" w:type="dxa"/>
            <w:gridSpan w:val="2"/>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r>
              <w:rPr>
                <w:rFonts w:ascii="宋体" w:hAnsi="宋体" w:eastAsia="宋体" w:cs="宋体"/>
                <w:color w:val="auto"/>
                <w:spacing w:val="-6"/>
                <w:highlight w:val="none"/>
              </w:rPr>
              <w:t>高级</w:t>
            </w:r>
          </w:p>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r>
              <w:rPr>
                <w:rFonts w:ascii="宋体" w:hAnsi="宋体" w:eastAsia="宋体" w:cs="宋体"/>
                <w:color w:val="auto"/>
                <w:spacing w:val="-6"/>
                <w:highlight w:val="none"/>
              </w:rPr>
              <w:t>职称</w:t>
            </w:r>
          </w:p>
        </w:tc>
        <w:tc>
          <w:tcPr>
            <w:tcW w:w="1931" w:type="dxa"/>
            <w:gridSpan w:val="3"/>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r>
              <w:rPr>
                <w:rFonts w:ascii="宋体" w:hAnsi="宋体" w:eastAsia="宋体" w:cs="宋体"/>
                <w:color w:val="auto"/>
                <w:spacing w:val="-6"/>
                <w:highlight w:val="none"/>
              </w:rPr>
              <w:t>中级</w:t>
            </w:r>
          </w:p>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r>
              <w:rPr>
                <w:rFonts w:ascii="宋体" w:hAnsi="宋体" w:eastAsia="宋体" w:cs="宋体"/>
                <w:color w:val="auto"/>
                <w:spacing w:val="-6"/>
                <w:highlight w:val="none"/>
              </w:rPr>
              <w:t>职称</w:t>
            </w:r>
          </w:p>
        </w:tc>
        <w:tc>
          <w:tcPr>
            <w:tcW w:w="1782" w:type="dxa"/>
            <w:gridSpan w:val="2"/>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r>
              <w:rPr>
                <w:rFonts w:ascii="宋体" w:hAnsi="宋体" w:eastAsia="宋体" w:cs="宋体"/>
                <w:color w:val="auto"/>
                <w:spacing w:val="-6"/>
                <w:highlight w:val="none"/>
              </w:rPr>
              <w:t>初级</w:t>
            </w:r>
          </w:p>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r>
              <w:rPr>
                <w:rFonts w:ascii="宋体" w:hAnsi="宋体" w:eastAsia="宋体" w:cs="宋体"/>
                <w:color w:val="auto"/>
                <w:spacing w:val="-6"/>
                <w:highlight w:val="none"/>
              </w:rPr>
              <w:t>职称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 w:hRule="atLeast"/>
          <w:jc w:val="center"/>
        </w:trPr>
        <w:tc>
          <w:tcPr>
            <w:tcW w:w="1200" w:type="dxa"/>
            <w:vMerge w:val="continue"/>
            <w:tcBorders>
              <w:top w:val="nil"/>
              <w:bottom w:val="nil"/>
            </w:tcBorders>
            <w:noWrap w:val="0"/>
            <w:textDirection w:val="tbRlV"/>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c>
          <w:tcPr>
            <w:tcW w:w="1133" w:type="dxa"/>
            <w:gridSpan w:val="2"/>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r>
              <w:rPr>
                <w:rFonts w:ascii="宋体" w:hAnsi="宋体" w:eastAsia="宋体" w:cs="宋体"/>
                <w:color w:val="auto"/>
                <w:spacing w:val="-6"/>
                <w:highlight w:val="none"/>
              </w:rPr>
              <w:t>医生</w:t>
            </w:r>
          </w:p>
        </w:tc>
        <w:tc>
          <w:tcPr>
            <w:tcW w:w="1083" w:type="dxa"/>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c>
          <w:tcPr>
            <w:tcW w:w="1567" w:type="dxa"/>
            <w:gridSpan w:val="2"/>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c>
          <w:tcPr>
            <w:tcW w:w="1931" w:type="dxa"/>
            <w:gridSpan w:val="3"/>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c>
          <w:tcPr>
            <w:tcW w:w="1782" w:type="dxa"/>
            <w:gridSpan w:val="2"/>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1" w:hRule="atLeast"/>
          <w:jc w:val="center"/>
        </w:trPr>
        <w:tc>
          <w:tcPr>
            <w:tcW w:w="1200" w:type="dxa"/>
            <w:vMerge w:val="continue"/>
            <w:tcBorders>
              <w:top w:val="nil"/>
              <w:bottom w:val="nil"/>
            </w:tcBorders>
            <w:noWrap w:val="0"/>
            <w:textDirection w:val="tbRlV"/>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c>
          <w:tcPr>
            <w:tcW w:w="1133" w:type="dxa"/>
            <w:gridSpan w:val="2"/>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r>
              <w:rPr>
                <w:rFonts w:ascii="宋体" w:hAnsi="宋体" w:eastAsia="宋体" w:cs="宋体"/>
                <w:color w:val="auto"/>
                <w:spacing w:val="-6"/>
                <w:highlight w:val="none"/>
              </w:rPr>
              <w:t>护士</w:t>
            </w:r>
          </w:p>
        </w:tc>
        <w:tc>
          <w:tcPr>
            <w:tcW w:w="1083" w:type="dxa"/>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c>
          <w:tcPr>
            <w:tcW w:w="1567" w:type="dxa"/>
            <w:gridSpan w:val="2"/>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c>
          <w:tcPr>
            <w:tcW w:w="1931" w:type="dxa"/>
            <w:gridSpan w:val="3"/>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c>
          <w:tcPr>
            <w:tcW w:w="1782" w:type="dxa"/>
            <w:gridSpan w:val="2"/>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96" w:hRule="atLeast"/>
          <w:jc w:val="center"/>
        </w:trPr>
        <w:tc>
          <w:tcPr>
            <w:tcW w:w="1200" w:type="dxa"/>
            <w:vMerge w:val="continue"/>
            <w:tcBorders>
              <w:top w:val="nil"/>
              <w:bottom w:val="nil"/>
            </w:tcBorders>
            <w:noWrap w:val="0"/>
            <w:textDirection w:val="tbRlV"/>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c>
          <w:tcPr>
            <w:tcW w:w="1133" w:type="dxa"/>
            <w:gridSpan w:val="2"/>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r>
              <w:rPr>
                <w:rFonts w:ascii="宋体" w:hAnsi="宋体" w:eastAsia="宋体" w:cs="宋体"/>
                <w:color w:val="auto"/>
                <w:spacing w:val="-6"/>
                <w:highlight w:val="none"/>
              </w:rPr>
              <w:t>医技人员</w:t>
            </w:r>
          </w:p>
        </w:tc>
        <w:tc>
          <w:tcPr>
            <w:tcW w:w="1083" w:type="dxa"/>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c>
          <w:tcPr>
            <w:tcW w:w="1567" w:type="dxa"/>
            <w:gridSpan w:val="2"/>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c>
          <w:tcPr>
            <w:tcW w:w="1931" w:type="dxa"/>
            <w:gridSpan w:val="3"/>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c>
          <w:tcPr>
            <w:tcW w:w="1782" w:type="dxa"/>
            <w:gridSpan w:val="2"/>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6" w:hRule="atLeast"/>
          <w:jc w:val="center"/>
        </w:trPr>
        <w:tc>
          <w:tcPr>
            <w:tcW w:w="1200" w:type="dxa"/>
            <w:vMerge w:val="continue"/>
            <w:tcBorders>
              <w:top w:val="nil"/>
              <w:bottom w:val="nil"/>
            </w:tcBorders>
            <w:noWrap w:val="0"/>
            <w:textDirection w:val="tbRlV"/>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c>
          <w:tcPr>
            <w:tcW w:w="1133" w:type="dxa"/>
            <w:gridSpan w:val="2"/>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r>
              <w:rPr>
                <w:rFonts w:ascii="宋体" w:hAnsi="宋体" w:eastAsia="宋体" w:cs="宋体"/>
                <w:color w:val="auto"/>
                <w:spacing w:val="-6"/>
                <w:highlight w:val="none"/>
              </w:rPr>
              <w:t>其他人员</w:t>
            </w:r>
          </w:p>
        </w:tc>
        <w:tc>
          <w:tcPr>
            <w:tcW w:w="1083" w:type="dxa"/>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c>
          <w:tcPr>
            <w:tcW w:w="1567" w:type="dxa"/>
            <w:gridSpan w:val="2"/>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c>
          <w:tcPr>
            <w:tcW w:w="1931" w:type="dxa"/>
            <w:gridSpan w:val="3"/>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c>
          <w:tcPr>
            <w:tcW w:w="1782" w:type="dxa"/>
            <w:gridSpan w:val="2"/>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9" w:hRule="atLeast"/>
          <w:jc w:val="center"/>
        </w:trPr>
        <w:tc>
          <w:tcPr>
            <w:tcW w:w="1200" w:type="dxa"/>
            <w:vMerge w:val="continue"/>
            <w:tcBorders>
              <w:top w:val="nil"/>
            </w:tcBorders>
            <w:noWrap w:val="0"/>
            <w:textDirection w:val="tbRlV"/>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c>
          <w:tcPr>
            <w:tcW w:w="1133" w:type="dxa"/>
            <w:gridSpan w:val="2"/>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r>
              <w:rPr>
                <w:rFonts w:ascii="宋体" w:hAnsi="宋体" w:eastAsia="宋体" w:cs="宋体"/>
                <w:color w:val="auto"/>
                <w:spacing w:val="-6"/>
                <w:highlight w:val="none"/>
              </w:rPr>
              <w:t>合计</w:t>
            </w:r>
          </w:p>
        </w:tc>
        <w:tc>
          <w:tcPr>
            <w:tcW w:w="1083" w:type="dxa"/>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c>
          <w:tcPr>
            <w:tcW w:w="1567" w:type="dxa"/>
            <w:gridSpan w:val="2"/>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c>
          <w:tcPr>
            <w:tcW w:w="1931" w:type="dxa"/>
            <w:gridSpan w:val="3"/>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c>
          <w:tcPr>
            <w:tcW w:w="1782" w:type="dxa"/>
            <w:gridSpan w:val="2"/>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37" w:hRule="atLeast"/>
          <w:jc w:val="center"/>
        </w:trPr>
        <w:tc>
          <w:tcPr>
            <w:tcW w:w="1200" w:type="dxa"/>
            <w:vMerge w:val="restart"/>
            <w:tcBorders>
              <w:bottom w:val="nil"/>
            </w:tcBorders>
            <w:noWrap w:val="0"/>
            <w:textDirection w:val="tbRlV"/>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r>
              <w:rPr>
                <w:rFonts w:ascii="宋体" w:hAnsi="宋体" w:eastAsia="宋体" w:cs="宋体"/>
                <w:color w:val="auto"/>
                <w:spacing w:val="-6"/>
                <w:highlight w:val="none"/>
              </w:rPr>
              <w:t>科 室 设 置 及 病 床 数</w:t>
            </w:r>
          </w:p>
        </w:tc>
        <w:tc>
          <w:tcPr>
            <w:tcW w:w="1133" w:type="dxa"/>
            <w:gridSpan w:val="2"/>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r>
              <w:rPr>
                <w:rFonts w:ascii="宋体" w:hAnsi="宋体" w:eastAsia="宋体" w:cs="宋体"/>
                <w:color w:val="auto"/>
                <w:spacing w:val="-6"/>
                <w:highlight w:val="none"/>
              </w:rPr>
              <w:t>科室</w:t>
            </w:r>
          </w:p>
        </w:tc>
        <w:tc>
          <w:tcPr>
            <w:tcW w:w="1083" w:type="dxa"/>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r>
              <w:rPr>
                <w:rFonts w:ascii="宋体" w:hAnsi="宋体" w:eastAsia="宋体" w:cs="宋体"/>
                <w:color w:val="auto"/>
                <w:spacing w:val="-6"/>
                <w:highlight w:val="none"/>
              </w:rPr>
              <w:t>床位数</w:t>
            </w:r>
          </w:p>
        </w:tc>
        <w:tc>
          <w:tcPr>
            <w:tcW w:w="1567" w:type="dxa"/>
            <w:gridSpan w:val="2"/>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r>
              <w:rPr>
                <w:rFonts w:ascii="宋体" w:hAnsi="宋体" w:eastAsia="宋体" w:cs="宋体"/>
                <w:color w:val="auto"/>
                <w:spacing w:val="-6"/>
                <w:highlight w:val="none"/>
              </w:rPr>
              <w:t>科室</w:t>
            </w:r>
          </w:p>
        </w:tc>
        <w:tc>
          <w:tcPr>
            <w:tcW w:w="1152" w:type="dxa"/>
            <w:gridSpan w:val="2"/>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r>
              <w:rPr>
                <w:rFonts w:ascii="宋体" w:hAnsi="宋体" w:eastAsia="宋体" w:cs="宋体"/>
                <w:color w:val="auto"/>
                <w:spacing w:val="-6"/>
                <w:highlight w:val="none"/>
              </w:rPr>
              <w:t>床位数</w:t>
            </w:r>
          </w:p>
        </w:tc>
        <w:tc>
          <w:tcPr>
            <w:tcW w:w="1441" w:type="dxa"/>
            <w:gridSpan w:val="2"/>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r>
              <w:rPr>
                <w:rFonts w:ascii="宋体" w:hAnsi="宋体" w:eastAsia="宋体" w:cs="宋体"/>
                <w:color w:val="auto"/>
                <w:spacing w:val="-6"/>
                <w:highlight w:val="none"/>
              </w:rPr>
              <w:t>科室</w:t>
            </w:r>
          </w:p>
        </w:tc>
        <w:tc>
          <w:tcPr>
            <w:tcW w:w="1120" w:type="dxa"/>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r>
              <w:rPr>
                <w:rFonts w:ascii="宋体" w:hAnsi="宋体" w:eastAsia="宋体" w:cs="宋体"/>
                <w:color w:val="auto"/>
                <w:spacing w:val="-6"/>
                <w:highlight w:val="none"/>
              </w:rPr>
              <w:t>床位数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1" w:hRule="atLeast"/>
          <w:jc w:val="center"/>
        </w:trPr>
        <w:tc>
          <w:tcPr>
            <w:tcW w:w="1200" w:type="dxa"/>
            <w:vMerge w:val="continue"/>
            <w:tcBorders>
              <w:top w:val="nil"/>
              <w:bottom w:val="nil"/>
            </w:tcBorders>
            <w:noWrap w:val="0"/>
            <w:textDirection w:val="tbRlV"/>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c>
          <w:tcPr>
            <w:tcW w:w="1133" w:type="dxa"/>
            <w:gridSpan w:val="2"/>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c>
          <w:tcPr>
            <w:tcW w:w="1083" w:type="dxa"/>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c>
          <w:tcPr>
            <w:tcW w:w="1567" w:type="dxa"/>
            <w:gridSpan w:val="2"/>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c>
          <w:tcPr>
            <w:tcW w:w="1152" w:type="dxa"/>
            <w:gridSpan w:val="2"/>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c>
          <w:tcPr>
            <w:tcW w:w="1441" w:type="dxa"/>
            <w:gridSpan w:val="2"/>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c>
          <w:tcPr>
            <w:tcW w:w="1120" w:type="dxa"/>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1" w:hRule="atLeast"/>
          <w:jc w:val="center"/>
        </w:trPr>
        <w:tc>
          <w:tcPr>
            <w:tcW w:w="1200" w:type="dxa"/>
            <w:vMerge w:val="continue"/>
            <w:tcBorders>
              <w:top w:val="nil"/>
              <w:bottom w:val="nil"/>
            </w:tcBorders>
            <w:noWrap w:val="0"/>
            <w:textDirection w:val="tbRlV"/>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c>
          <w:tcPr>
            <w:tcW w:w="1133" w:type="dxa"/>
            <w:gridSpan w:val="2"/>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c>
          <w:tcPr>
            <w:tcW w:w="1083" w:type="dxa"/>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c>
          <w:tcPr>
            <w:tcW w:w="1567" w:type="dxa"/>
            <w:gridSpan w:val="2"/>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c>
          <w:tcPr>
            <w:tcW w:w="1152" w:type="dxa"/>
            <w:gridSpan w:val="2"/>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c>
          <w:tcPr>
            <w:tcW w:w="1441" w:type="dxa"/>
            <w:gridSpan w:val="2"/>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c>
          <w:tcPr>
            <w:tcW w:w="1120" w:type="dxa"/>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76" w:hRule="atLeast"/>
          <w:jc w:val="center"/>
        </w:trPr>
        <w:tc>
          <w:tcPr>
            <w:tcW w:w="1200" w:type="dxa"/>
            <w:vMerge w:val="continue"/>
            <w:tcBorders>
              <w:top w:val="nil"/>
              <w:bottom w:val="nil"/>
            </w:tcBorders>
            <w:noWrap w:val="0"/>
            <w:textDirection w:val="tbRlV"/>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c>
          <w:tcPr>
            <w:tcW w:w="1133" w:type="dxa"/>
            <w:gridSpan w:val="2"/>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c>
          <w:tcPr>
            <w:tcW w:w="1083" w:type="dxa"/>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c>
          <w:tcPr>
            <w:tcW w:w="1567" w:type="dxa"/>
            <w:gridSpan w:val="2"/>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c>
          <w:tcPr>
            <w:tcW w:w="1152" w:type="dxa"/>
            <w:gridSpan w:val="2"/>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c>
          <w:tcPr>
            <w:tcW w:w="1441" w:type="dxa"/>
            <w:gridSpan w:val="2"/>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c>
          <w:tcPr>
            <w:tcW w:w="1120" w:type="dxa"/>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1" w:hRule="atLeast"/>
          <w:jc w:val="center"/>
        </w:trPr>
        <w:tc>
          <w:tcPr>
            <w:tcW w:w="1200" w:type="dxa"/>
            <w:vMerge w:val="continue"/>
            <w:tcBorders>
              <w:top w:val="nil"/>
              <w:bottom w:val="nil"/>
            </w:tcBorders>
            <w:noWrap w:val="0"/>
            <w:textDirection w:val="tbRlV"/>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c>
          <w:tcPr>
            <w:tcW w:w="1133" w:type="dxa"/>
            <w:gridSpan w:val="2"/>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c>
          <w:tcPr>
            <w:tcW w:w="1083" w:type="dxa"/>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c>
          <w:tcPr>
            <w:tcW w:w="1567" w:type="dxa"/>
            <w:gridSpan w:val="2"/>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c>
          <w:tcPr>
            <w:tcW w:w="1152" w:type="dxa"/>
            <w:gridSpan w:val="2"/>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c>
          <w:tcPr>
            <w:tcW w:w="1441" w:type="dxa"/>
            <w:gridSpan w:val="2"/>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c>
          <w:tcPr>
            <w:tcW w:w="1120" w:type="dxa"/>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16" w:hRule="atLeast"/>
          <w:jc w:val="center"/>
        </w:trPr>
        <w:tc>
          <w:tcPr>
            <w:tcW w:w="1200" w:type="dxa"/>
            <w:vMerge w:val="continue"/>
            <w:tcBorders>
              <w:top w:val="nil"/>
              <w:bottom w:val="nil"/>
            </w:tcBorders>
            <w:noWrap w:val="0"/>
            <w:textDirection w:val="tbRlV"/>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c>
          <w:tcPr>
            <w:tcW w:w="1133" w:type="dxa"/>
            <w:gridSpan w:val="2"/>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c>
          <w:tcPr>
            <w:tcW w:w="1083" w:type="dxa"/>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c>
          <w:tcPr>
            <w:tcW w:w="1567" w:type="dxa"/>
            <w:gridSpan w:val="2"/>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c>
          <w:tcPr>
            <w:tcW w:w="1152" w:type="dxa"/>
            <w:gridSpan w:val="2"/>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c>
          <w:tcPr>
            <w:tcW w:w="1441" w:type="dxa"/>
            <w:gridSpan w:val="2"/>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c>
          <w:tcPr>
            <w:tcW w:w="1120" w:type="dxa"/>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6" w:hRule="atLeast"/>
          <w:jc w:val="center"/>
        </w:trPr>
        <w:tc>
          <w:tcPr>
            <w:tcW w:w="1200" w:type="dxa"/>
            <w:vMerge w:val="continue"/>
            <w:tcBorders>
              <w:top w:val="nil"/>
              <w:bottom w:val="nil"/>
            </w:tcBorders>
            <w:noWrap w:val="0"/>
            <w:textDirection w:val="tbRlV"/>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c>
          <w:tcPr>
            <w:tcW w:w="1133" w:type="dxa"/>
            <w:gridSpan w:val="2"/>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c>
          <w:tcPr>
            <w:tcW w:w="1083" w:type="dxa"/>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c>
          <w:tcPr>
            <w:tcW w:w="1567" w:type="dxa"/>
            <w:gridSpan w:val="2"/>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c>
          <w:tcPr>
            <w:tcW w:w="1152" w:type="dxa"/>
            <w:gridSpan w:val="2"/>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c>
          <w:tcPr>
            <w:tcW w:w="1441" w:type="dxa"/>
            <w:gridSpan w:val="2"/>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c>
          <w:tcPr>
            <w:tcW w:w="1120" w:type="dxa"/>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6" w:hRule="atLeast"/>
          <w:jc w:val="center"/>
        </w:trPr>
        <w:tc>
          <w:tcPr>
            <w:tcW w:w="1200" w:type="dxa"/>
            <w:vMerge w:val="continue"/>
            <w:tcBorders>
              <w:top w:val="nil"/>
              <w:bottom w:val="nil"/>
            </w:tcBorders>
            <w:noWrap w:val="0"/>
            <w:textDirection w:val="tbRlV"/>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c>
          <w:tcPr>
            <w:tcW w:w="1133" w:type="dxa"/>
            <w:gridSpan w:val="2"/>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c>
          <w:tcPr>
            <w:tcW w:w="1083" w:type="dxa"/>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c>
          <w:tcPr>
            <w:tcW w:w="1567" w:type="dxa"/>
            <w:gridSpan w:val="2"/>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c>
          <w:tcPr>
            <w:tcW w:w="1152" w:type="dxa"/>
            <w:gridSpan w:val="2"/>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c>
          <w:tcPr>
            <w:tcW w:w="1441" w:type="dxa"/>
            <w:gridSpan w:val="2"/>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c>
          <w:tcPr>
            <w:tcW w:w="1120" w:type="dxa"/>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6" w:hRule="atLeast"/>
          <w:jc w:val="center"/>
        </w:trPr>
        <w:tc>
          <w:tcPr>
            <w:tcW w:w="1200" w:type="dxa"/>
            <w:vMerge w:val="continue"/>
            <w:tcBorders>
              <w:top w:val="nil"/>
            </w:tcBorders>
            <w:noWrap w:val="0"/>
            <w:textDirection w:val="tbRlV"/>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c>
          <w:tcPr>
            <w:tcW w:w="1133" w:type="dxa"/>
            <w:gridSpan w:val="2"/>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c>
          <w:tcPr>
            <w:tcW w:w="1083" w:type="dxa"/>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c>
          <w:tcPr>
            <w:tcW w:w="1567" w:type="dxa"/>
            <w:gridSpan w:val="2"/>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c>
          <w:tcPr>
            <w:tcW w:w="1152" w:type="dxa"/>
            <w:gridSpan w:val="2"/>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c>
          <w:tcPr>
            <w:tcW w:w="1441" w:type="dxa"/>
            <w:gridSpan w:val="2"/>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c>
          <w:tcPr>
            <w:tcW w:w="1120" w:type="dxa"/>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9" w:hRule="atLeast"/>
          <w:jc w:val="center"/>
        </w:trPr>
        <w:tc>
          <w:tcPr>
            <w:tcW w:w="1200" w:type="dxa"/>
            <w:noWrap w:val="0"/>
            <w:textDirection w:val="tbRlV"/>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r>
              <w:rPr>
                <w:rFonts w:ascii="宋体" w:hAnsi="宋体" w:eastAsia="宋体" w:cs="宋体"/>
                <w:color w:val="auto"/>
                <w:spacing w:val="-6"/>
                <w:highlight w:val="none"/>
              </w:rPr>
              <w:t>申 请 内 容</w:t>
            </w:r>
          </w:p>
        </w:tc>
        <w:tc>
          <w:tcPr>
            <w:tcW w:w="7496" w:type="dxa"/>
            <w:gridSpan w:val="10"/>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p>
            <w:pPr>
              <w:pStyle w:val="21"/>
              <w:keepNext w:val="0"/>
              <w:keepLines w:val="0"/>
              <w:pageBreakBefore w:val="0"/>
              <w:widowControl w:val="0"/>
              <w:kinsoku/>
              <w:wordWrap w:val="0"/>
              <w:overflowPunct/>
              <w:topLinePunct w:val="0"/>
              <w:autoSpaceDE/>
              <w:autoSpaceDN/>
              <w:bidi w:val="0"/>
              <w:adjustRightInd/>
              <w:snapToGrid/>
              <w:spacing w:line="590" w:lineRule="exact"/>
              <w:ind w:left="0"/>
              <w:jc w:val="right"/>
              <w:textAlignment w:val="auto"/>
              <w:rPr>
                <w:rFonts w:hint="default" w:ascii="宋体" w:hAnsi="宋体" w:eastAsia="宋体" w:cs="宋体"/>
                <w:color w:val="auto"/>
                <w:spacing w:val="-6"/>
                <w:highlight w:val="none"/>
                <w:lang w:val="en-US" w:eastAsia="zh-CN"/>
              </w:rPr>
            </w:pPr>
            <w:r>
              <w:rPr>
                <w:rFonts w:ascii="宋体" w:hAnsi="宋体" w:eastAsia="宋体" w:cs="宋体"/>
                <w:color w:val="auto"/>
                <w:spacing w:val="-6"/>
                <w:highlight w:val="none"/>
              </w:rPr>
              <w:t>法定代表人签字：</w:t>
            </w:r>
            <w:r>
              <w:rPr>
                <w:rFonts w:hint="eastAsia" w:ascii="宋体" w:hAnsi="宋体" w:eastAsia="宋体" w:cs="宋体"/>
                <w:color w:val="auto"/>
                <w:spacing w:val="-6"/>
                <w:highlight w:val="none"/>
                <w:lang w:val="en-US" w:eastAsia="zh-CN"/>
              </w:rPr>
              <w:t xml:space="preserve">         </w:t>
            </w:r>
          </w:p>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p>
            <w:pPr>
              <w:pStyle w:val="21"/>
              <w:keepNext w:val="0"/>
              <w:keepLines w:val="0"/>
              <w:pageBreakBefore w:val="0"/>
              <w:widowControl w:val="0"/>
              <w:kinsoku/>
              <w:wordWrap w:val="0"/>
              <w:overflowPunct/>
              <w:topLinePunct w:val="0"/>
              <w:autoSpaceDE/>
              <w:autoSpaceDN/>
              <w:bidi w:val="0"/>
              <w:adjustRightInd/>
              <w:snapToGrid/>
              <w:spacing w:line="590" w:lineRule="exact"/>
              <w:ind w:left="0"/>
              <w:jc w:val="right"/>
              <w:textAlignment w:val="auto"/>
              <w:rPr>
                <w:rFonts w:hint="default" w:ascii="宋体" w:hAnsi="宋体" w:eastAsia="宋体" w:cs="宋体"/>
                <w:color w:val="auto"/>
                <w:spacing w:val="-6"/>
                <w:highlight w:val="none"/>
                <w:lang w:val="en-US" w:eastAsia="zh-CN"/>
              </w:rPr>
            </w:pPr>
            <w:r>
              <w:rPr>
                <w:rFonts w:ascii="宋体" w:hAnsi="宋体" w:eastAsia="宋体" w:cs="宋体"/>
                <w:color w:val="auto"/>
                <w:spacing w:val="-6"/>
                <w:highlight w:val="none"/>
              </w:rPr>
              <w:t>(申请单位印章)</w:t>
            </w:r>
            <w:r>
              <w:rPr>
                <w:rFonts w:hint="eastAsia" w:ascii="宋体" w:hAnsi="宋体" w:eastAsia="宋体" w:cs="宋体"/>
                <w:color w:val="auto"/>
                <w:spacing w:val="-6"/>
                <w:highlight w:val="none"/>
                <w:lang w:val="en-US" w:eastAsia="zh-CN"/>
              </w:rPr>
              <w:t xml:space="preserve">          </w:t>
            </w:r>
          </w:p>
          <w:p>
            <w:pPr>
              <w:pStyle w:val="21"/>
              <w:keepNext w:val="0"/>
              <w:keepLines w:val="0"/>
              <w:pageBreakBefore w:val="0"/>
              <w:widowControl w:val="0"/>
              <w:kinsoku/>
              <w:wordWrap/>
              <w:overflowPunct/>
              <w:topLinePunct w:val="0"/>
              <w:autoSpaceDE/>
              <w:autoSpaceDN/>
              <w:bidi w:val="0"/>
              <w:adjustRightInd/>
              <w:snapToGrid/>
              <w:spacing w:line="590" w:lineRule="exact"/>
              <w:ind w:left="0"/>
              <w:jc w:val="right"/>
              <w:textAlignment w:val="auto"/>
              <w:rPr>
                <w:rFonts w:ascii="宋体" w:hAnsi="宋体" w:eastAsia="宋体" w:cs="宋体"/>
                <w:color w:val="auto"/>
                <w:spacing w:val="-6"/>
                <w:highlight w:val="none"/>
              </w:rPr>
            </w:pPr>
          </w:p>
          <w:p>
            <w:pPr>
              <w:pStyle w:val="21"/>
              <w:keepNext w:val="0"/>
              <w:keepLines w:val="0"/>
              <w:pageBreakBefore w:val="0"/>
              <w:widowControl w:val="0"/>
              <w:kinsoku/>
              <w:wordWrap w:val="0"/>
              <w:overflowPunct/>
              <w:topLinePunct w:val="0"/>
              <w:autoSpaceDE/>
              <w:autoSpaceDN/>
              <w:bidi w:val="0"/>
              <w:adjustRightInd/>
              <w:snapToGrid/>
              <w:spacing w:line="590" w:lineRule="exact"/>
              <w:ind w:left="0"/>
              <w:jc w:val="right"/>
              <w:textAlignment w:val="auto"/>
              <w:rPr>
                <w:rFonts w:hint="default" w:ascii="宋体" w:hAnsi="宋体" w:eastAsia="宋体" w:cs="宋体"/>
                <w:color w:val="auto"/>
                <w:spacing w:val="-6"/>
                <w:highlight w:val="none"/>
                <w:lang w:val="en-US" w:eastAsia="zh-CN"/>
              </w:rPr>
            </w:pPr>
            <w:r>
              <w:rPr>
                <w:rFonts w:ascii="宋体" w:hAnsi="宋体" w:eastAsia="宋体" w:cs="宋体"/>
                <w:color w:val="auto"/>
                <w:spacing w:val="-6"/>
                <w:highlight w:val="none"/>
              </w:rPr>
              <w:t>年   月   日</w:t>
            </w:r>
            <w:r>
              <w:rPr>
                <w:rFonts w:hint="eastAsia" w:ascii="宋体" w:hAnsi="宋体" w:eastAsia="宋体" w:cs="宋体"/>
                <w:color w:val="auto"/>
                <w:spacing w:val="-6"/>
                <w:highlight w:val="none"/>
                <w:lang w:val="en-US" w:eastAsia="zh-CN"/>
              </w:rPr>
              <w:t xml:space="preserve">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39" w:hRule="atLeast"/>
          <w:jc w:val="center"/>
        </w:trPr>
        <w:tc>
          <w:tcPr>
            <w:tcW w:w="1200" w:type="dxa"/>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r>
              <w:rPr>
                <w:rFonts w:ascii="宋体" w:hAnsi="宋体" w:eastAsia="宋体" w:cs="宋体"/>
                <w:color w:val="auto"/>
                <w:spacing w:val="-6"/>
                <w:highlight w:val="none"/>
              </w:rPr>
              <w:t>医疗保险经办机构审查意见</w:t>
            </w:r>
          </w:p>
        </w:tc>
        <w:tc>
          <w:tcPr>
            <w:tcW w:w="7496" w:type="dxa"/>
            <w:gridSpan w:val="10"/>
            <w:noWrap w:val="0"/>
            <w:vAlign w:val="center"/>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p>
            <w:pPr>
              <w:pStyle w:val="21"/>
              <w:keepNext w:val="0"/>
              <w:keepLines w:val="0"/>
              <w:pageBreakBefore w:val="0"/>
              <w:widowControl w:val="0"/>
              <w:kinsoku/>
              <w:wordWrap w:val="0"/>
              <w:overflowPunct/>
              <w:topLinePunct w:val="0"/>
              <w:autoSpaceDE/>
              <w:autoSpaceDN/>
              <w:bidi w:val="0"/>
              <w:adjustRightInd/>
              <w:snapToGrid/>
              <w:spacing w:line="590" w:lineRule="exact"/>
              <w:ind w:left="0"/>
              <w:jc w:val="right"/>
              <w:textAlignment w:val="auto"/>
              <w:rPr>
                <w:rFonts w:hint="default" w:ascii="宋体" w:hAnsi="宋体" w:eastAsia="宋体" w:cs="宋体"/>
                <w:color w:val="auto"/>
                <w:spacing w:val="-6"/>
                <w:highlight w:val="none"/>
                <w:lang w:val="en-US" w:eastAsia="zh-CN"/>
              </w:rPr>
            </w:pPr>
            <w:r>
              <w:rPr>
                <w:rFonts w:ascii="宋体" w:hAnsi="宋体" w:eastAsia="宋体" w:cs="宋体"/>
                <w:color w:val="auto"/>
                <w:spacing w:val="-6"/>
                <w:highlight w:val="none"/>
              </w:rPr>
              <w:t>(印 章)</w:t>
            </w:r>
            <w:r>
              <w:rPr>
                <w:rFonts w:hint="eastAsia" w:ascii="宋体" w:hAnsi="宋体" w:eastAsia="宋体" w:cs="宋体"/>
                <w:color w:val="auto"/>
                <w:spacing w:val="-6"/>
                <w:highlight w:val="none"/>
                <w:lang w:val="en-US" w:eastAsia="zh-CN"/>
              </w:rPr>
              <w:t xml:space="preserve">          </w:t>
            </w:r>
          </w:p>
          <w:p>
            <w:pPr>
              <w:pStyle w:val="21"/>
              <w:keepNext w:val="0"/>
              <w:keepLines w:val="0"/>
              <w:pageBreakBefore w:val="0"/>
              <w:widowControl w:val="0"/>
              <w:kinsoku/>
              <w:wordWrap/>
              <w:overflowPunct/>
              <w:topLinePunct w:val="0"/>
              <w:autoSpaceDE/>
              <w:autoSpaceDN/>
              <w:bidi w:val="0"/>
              <w:adjustRightInd/>
              <w:snapToGrid/>
              <w:spacing w:line="590" w:lineRule="exact"/>
              <w:ind w:left="0"/>
              <w:jc w:val="right"/>
              <w:textAlignment w:val="auto"/>
              <w:rPr>
                <w:rFonts w:ascii="宋体" w:hAnsi="宋体" w:eastAsia="宋体" w:cs="宋体"/>
                <w:color w:val="auto"/>
                <w:spacing w:val="-6"/>
                <w:highlight w:val="none"/>
              </w:rPr>
            </w:pPr>
          </w:p>
          <w:p>
            <w:pPr>
              <w:pStyle w:val="21"/>
              <w:keepNext w:val="0"/>
              <w:keepLines w:val="0"/>
              <w:pageBreakBefore w:val="0"/>
              <w:widowControl w:val="0"/>
              <w:kinsoku/>
              <w:wordWrap w:val="0"/>
              <w:overflowPunct/>
              <w:topLinePunct w:val="0"/>
              <w:autoSpaceDE/>
              <w:autoSpaceDN/>
              <w:bidi w:val="0"/>
              <w:adjustRightInd/>
              <w:snapToGrid/>
              <w:spacing w:line="590" w:lineRule="exact"/>
              <w:ind w:left="0"/>
              <w:jc w:val="right"/>
              <w:textAlignment w:val="auto"/>
              <w:rPr>
                <w:rFonts w:hint="default" w:ascii="宋体" w:hAnsi="宋体" w:eastAsia="宋体" w:cs="宋体"/>
                <w:color w:val="auto"/>
                <w:spacing w:val="-6"/>
                <w:highlight w:val="none"/>
                <w:lang w:val="en-US" w:eastAsia="zh-CN"/>
              </w:rPr>
            </w:pPr>
            <w:r>
              <w:rPr>
                <w:rFonts w:ascii="宋体" w:hAnsi="宋体" w:eastAsia="宋体" w:cs="宋体"/>
                <w:color w:val="auto"/>
                <w:spacing w:val="-6"/>
                <w:highlight w:val="none"/>
              </w:rPr>
              <w:t>年   月   日</w:t>
            </w:r>
            <w:r>
              <w:rPr>
                <w:rFonts w:hint="eastAsia" w:ascii="宋体" w:hAnsi="宋体" w:eastAsia="宋体" w:cs="宋体"/>
                <w:color w:val="auto"/>
                <w:spacing w:val="-6"/>
                <w:highlight w:val="none"/>
                <w:lang w:val="en-US" w:eastAsia="zh-CN"/>
              </w:rPr>
              <w:t xml:space="preserve">      </w:t>
            </w:r>
          </w:p>
        </w:tc>
      </w:tr>
    </w:tbl>
    <w:p>
      <w:pPr>
        <w:keepNext w:val="0"/>
        <w:keepLines w:val="0"/>
        <w:pageBreakBefore w:val="0"/>
        <w:widowControl w:val="0"/>
        <w:kinsoku/>
        <w:wordWrap/>
        <w:overflowPunct/>
        <w:topLinePunct w:val="0"/>
        <w:autoSpaceDE/>
        <w:autoSpaceDN/>
        <w:bidi w:val="0"/>
        <w:adjustRightInd/>
        <w:snapToGrid/>
        <w:spacing w:line="590" w:lineRule="exact"/>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附件2</w:t>
      </w:r>
    </w:p>
    <w:p>
      <w:pPr>
        <w:pStyle w:val="2"/>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590" w:lineRule="exact"/>
        <w:ind w:leftChars="100"/>
        <w:jc w:val="both"/>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芜湖市基本医疗保险定点零售药店申请表</w:t>
      </w:r>
    </w:p>
    <w:p>
      <w:pPr>
        <w:pStyle w:val="2"/>
        <w:rPr>
          <w:rFonts w:hint="eastAsia"/>
          <w:lang w:val="en-US" w:eastAsia="zh-CN"/>
        </w:rPr>
      </w:pPr>
    </w:p>
    <w:tbl>
      <w:tblPr>
        <w:tblStyle w:val="22"/>
        <w:tblW w:w="857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28"/>
        <w:gridCol w:w="1314"/>
        <w:gridCol w:w="1130"/>
        <w:gridCol w:w="1438"/>
        <w:gridCol w:w="382"/>
        <w:gridCol w:w="840"/>
        <w:gridCol w:w="576"/>
        <w:gridCol w:w="939"/>
        <w:gridCol w:w="122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jc w:val="center"/>
        </w:trPr>
        <w:tc>
          <w:tcPr>
            <w:tcW w:w="2042" w:type="dxa"/>
            <w:gridSpan w:val="2"/>
            <w:noWrap w:val="0"/>
            <w:vAlign w:val="top"/>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r>
              <w:rPr>
                <w:rFonts w:ascii="宋体" w:hAnsi="宋体" w:eastAsia="宋体" w:cs="宋体"/>
                <w:color w:val="auto"/>
                <w:spacing w:val="-6"/>
                <w:highlight w:val="none"/>
              </w:rPr>
              <w:t>药店名称</w:t>
            </w:r>
          </w:p>
        </w:tc>
        <w:tc>
          <w:tcPr>
            <w:tcW w:w="6530" w:type="dxa"/>
            <w:gridSpan w:val="7"/>
            <w:noWrap w:val="0"/>
            <w:vAlign w:val="top"/>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jc w:val="center"/>
        </w:trPr>
        <w:tc>
          <w:tcPr>
            <w:tcW w:w="2042" w:type="dxa"/>
            <w:gridSpan w:val="2"/>
            <w:noWrap w:val="0"/>
            <w:vAlign w:val="top"/>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r>
              <w:rPr>
                <w:rFonts w:ascii="宋体" w:hAnsi="宋体" w:eastAsia="宋体" w:cs="宋体"/>
                <w:color w:val="auto"/>
                <w:spacing w:val="-6"/>
                <w:highlight w:val="none"/>
              </w:rPr>
              <w:t>是否连锁</w:t>
            </w:r>
          </w:p>
        </w:tc>
        <w:tc>
          <w:tcPr>
            <w:tcW w:w="2950" w:type="dxa"/>
            <w:gridSpan w:val="3"/>
            <w:noWrap w:val="0"/>
            <w:vAlign w:val="top"/>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r>
              <w:rPr>
                <w:rFonts w:ascii="宋体" w:hAnsi="宋体" w:eastAsia="宋体" w:cs="宋体"/>
                <w:color w:val="auto"/>
                <w:spacing w:val="-6"/>
                <w:highlight w:val="none"/>
              </w:rPr>
              <w:t>□是     □否</w:t>
            </w:r>
          </w:p>
        </w:tc>
        <w:tc>
          <w:tcPr>
            <w:tcW w:w="1416" w:type="dxa"/>
            <w:gridSpan w:val="2"/>
            <w:noWrap w:val="0"/>
            <w:vAlign w:val="top"/>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r>
              <w:rPr>
                <w:rFonts w:ascii="宋体" w:hAnsi="宋体" w:eastAsia="宋体" w:cs="宋体"/>
                <w:color w:val="auto"/>
                <w:spacing w:val="-6"/>
                <w:highlight w:val="none"/>
              </w:rPr>
              <w:t>连锁</w:t>
            </w:r>
            <w:r>
              <w:rPr>
                <w:rFonts w:hint="eastAsia" w:ascii="宋体" w:hAnsi="宋体" w:eastAsia="宋体" w:cs="宋体"/>
                <w:color w:val="auto"/>
                <w:spacing w:val="-6"/>
                <w:highlight w:val="none"/>
                <w:lang w:val="en-US" w:eastAsia="zh-CN"/>
              </w:rPr>
              <w:t>总</w:t>
            </w:r>
            <w:r>
              <w:rPr>
                <w:rFonts w:ascii="宋体" w:hAnsi="宋体" w:eastAsia="宋体" w:cs="宋体"/>
                <w:color w:val="auto"/>
                <w:spacing w:val="-6"/>
                <w:highlight w:val="none"/>
              </w:rPr>
              <w:t>公司</w:t>
            </w:r>
          </w:p>
        </w:tc>
        <w:tc>
          <w:tcPr>
            <w:tcW w:w="2164" w:type="dxa"/>
            <w:gridSpan w:val="2"/>
            <w:noWrap w:val="0"/>
            <w:vAlign w:val="top"/>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9" w:hRule="atLeast"/>
          <w:jc w:val="center"/>
        </w:trPr>
        <w:tc>
          <w:tcPr>
            <w:tcW w:w="2042" w:type="dxa"/>
            <w:gridSpan w:val="2"/>
            <w:noWrap w:val="0"/>
            <w:vAlign w:val="top"/>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r>
              <w:rPr>
                <w:rFonts w:ascii="宋体" w:hAnsi="宋体" w:eastAsia="宋体" w:cs="宋体"/>
                <w:color w:val="auto"/>
                <w:spacing w:val="-6"/>
                <w:highlight w:val="none"/>
              </w:rPr>
              <w:t>营业执照号</w:t>
            </w:r>
          </w:p>
        </w:tc>
        <w:tc>
          <w:tcPr>
            <w:tcW w:w="2950" w:type="dxa"/>
            <w:gridSpan w:val="3"/>
            <w:noWrap w:val="0"/>
            <w:vAlign w:val="top"/>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c>
          <w:tcPr>
            <w:tcW w:w="1416" w:type="dxa"/>
            <w:gridSpan w:val="2"/>
            <w:noWrap w:val="0"/>
            <w:vAlign w:val="top"/>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r>
              <w:rPr>
                <w:rFonts w:ascii="宋体" w:hAnsi="宋体" w:eastAsia="宋体" w:cs="宋体"/>
                <w:color w:val="auto"/>
                <w:spacing w:val="-6"/>
                <w:highlight w:val="none"/>
              </w:rPr>
              <w:t>税务登记号</w:t>
            </w:r>
          </w:p>
        </w:tc>
        <w:tc>
          <w:tcPr>
            <w:tcW w:w="2164" w:type="dxa"/>
            <w:gridSpan w:val="2"/>
            <w:noWrap w:val="0"/>
            <w:vAlign w:val="top"/>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2" w:hRule="atLeast"/>
          <w:jc w:val="center"/>
        </w:trPr>
        <w:tc>
          <w:tcPr>
            <w:tcW w:w="2042" w:type="dxa"/>
            <w:gridSpan w:val="2"/>
            <w:noWrap w:val="0"/>
            <w:vAlign w:val="top"/>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r>
              <w:rPr>
                <w:rFonts w:ascii="宋体" w:hAnsi="宋体" w:eastAsia="宋体" w:cs="宋体"/>
                <w:color w:val="auto"/>
                <w:spacing w:val="-6"/>
                <w:highlight w:val="none"/>
              </w:rPr>
              <w:t>单位地址</w:t>
            </w:r>
          </w:p>
        </w:tc>
        <w:tc>
          <w:tcPr>
            <w:tcW w:w="6530" w:type="dxa"/>
            <w:gridSpan w:val="7"/>
            <w:noWrap w:val="0"/>
            <w:vAlign w:val="top"/>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1" w:hRule="atLeast"/>
          <w:jc w:val="center"/>
        </w:trPr>
        <w:tc>
          <w:tcPr>
            <w:tcW w:w="2042" w:type="dxa"/>
            <w:gridSpan w:val="2"/>
            <w:noWrap w:val="0"/>
            <w:vAlign w:val="top"/>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r>
              <w:rPr>
                <w:rFonts w:ascii="宋体" w:hAnsi="宋体" w:eastAsia="宋体" w:cs="宋体"/>
                <w:color w:val="auto"/>
                <w:spacing w:val="-6"/>
                <w:highlight w:val="none"/>
              </w:rPr>
              <w:t>法定代表人及身份证号</w:t>
            </w:r>
          </w:p>
        </w:tc>
        <w:tc>
          <w:tcPr>
            <w:tcW w:w="2950" w:type="dxa"/>
            <w:gridSpan w:val="3"/>
            <w:noWrap w:val="0"/>
            <w:vAlign w:val="top"/>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c>
          <w:tcPr>
            <w:tcW w:w="1416" w:type="dxa"/>
            <w:gridSpan w:val="2"/>
            <w:noWrap w:val="0"/>
            <w:vAlign w:val="top"/>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r>
              <w:rPr>
                <w:rFonts w:ascii="宋体" w:hAnsi="宋体" w:eastAsia="宋体" w:cs="宋体"/>
                <w:color w:val="auto"/>
                <w:spacing w:val="-6"/>
                <w:highlight w:val="none"/>
              </w:rPr>
              <w:t>联系电话</w:t>
            </w:r>
          </w:p>
        </w:tc>
        <w:tc>
          <w:tcPr>
            <w:tcW w:w="2164" w:type="dxa"/>
            <w:gridSpan w:val="2"/>
            <w:noWrap w:val="0"/>
            <w:vAlign w:val="top"/>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8" w:hRule="atLeast"/>
          <w:jc w:val="center"/>
        </w:trPr>
        <w:tc>
          <w:tcPr>
            <w:tcW w:w="2042" w:type="dxa"/>
            <w:gridSpan w:val="2"/>
            <w:noWrap w:val="0"/>
            <w:vAlign w:val="top"/>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r>
              <w:rPr>
                <w:rFonts w:ascii="宋体" w:hAnsi="宋体" w:eastAsia="宋体" w:cs="宋体"/>
                <w:color w:val="auto"/>
                <w:spacing w:val="-6"/>
                <w:highlight w:val="none"/>
              </w:rPr>
              <w:t>药</w:t>
            </w:r>
            <w:r>
              <w:rPr>
                <w:rFonts w:hint="eastAsia" w:ascii="宋体" w:hAnsi="宋体" w:eastAsia="宋体" w:cs="宋体"/>
                <w:color w:val="auto"/>
                <w:spacing w:val="-6"/>
                <w:highlight w:val="none"/>
                <w:lang w:val="en-US" w:eastAsia="zh-CN"/>
              </w:rPr>
              <w:t>品</w:t>
            </w:r>
            <w:r>
              <w:rPr>
                <w:rFonts w:ascii="宋体" w:hAnsi="宋体" w:eastAsia="宋体" w:cs="宋体"/>
                <w:color w:val="auto"/>
                <w:spacing w:val="-6"/>
                <w:highlight w:val="none"/>
              </w:rPr>
              <w:t>经营许可证号</w:t>
            </w:r>
          </w:p>
        </w:tc>
        <w:tc>
          <w:tcPr>
            <w:tcW w:w="6530" w:type="dxa"/>
            <w:gridSpan w:val="7"/>
            <w:noWrap w:val="0"/>
            <w:vAlign w:val="top"/>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2" w:hRule="atLeast"/>
          <w:jc w:val="center"/>
        </w:trPr>
        <w:tc>
          <w:tcPr>
            <w:tcW w:w="2042" w:type="dxa"/>
            <w:gridSpan w:val="2"/>
            <w:noWrap w:val="0"/>
            <w:vAlign w:val="top"/>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r>
              <w:rPr>
                <w:rFonts w:ascii="宋体" w:hAnsi="宋体" w:eastAsia="宋体" w:cs="宋体"/>
                <w:color w:val="auto"/>
                <w:spacing w:val="-6"/>
                <w:highlight w:val="none"/>
              </w:rPr>
              <w:t>单位开户行及户名</w:t>
            </w:r>
          </w:p>
        </w:tc>
        <w:tc>
          <w:tcPr>
            <w:tcW w:w="2568" w:type="dxa"/>
            <w:gridSpan w:val="2"/>
            <w:noWrap w:val="0"/>
            <w:vAlign w:val="top"/>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c>
          <w:tcPr>
            <w:tcW w:w="1222" w:type="dxa"/>
            <w:gridSpan w:val="2"/>
            <w:noWrap w:val="0"/>
            <w:vAlign w:val="top"/>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hint="eastAsia" w:ascii="宋体" w:hAnsi="宋体" w:eastAsia="宋体" w:cs="宋体"/>
                <w:color w:val="auto"/>
                <w:spacing w:val="-6"/>
                <w:highlight w:val="none"/>
                <w:lang w:eastAsia="zh-CN"/>
              </w:rPr>
            </w:pPr>
            <w:r>
              <w:rPr>
                <w:rFonts w:hint="eastAsia" w:ascii="宋体" w:hAnsi="宋体" w:eastAsia="宋体" w:cs="宋体"/>
                <w:color w:val="auto"/>
                <w:spacing w:val="-6"/>
                <w:highlight w:val="none"/>
                <w:lang w:eastAsia="zh-CN"/>
              </w:rPr>
              <w:t>账号</w:t>
            </w:r>
          </w:p>
        </w:tc>
        <w:tc>
          <w:tcPr>
            <w:tcW w:w="2740" w:type="dxa"/>
            <w:gridSpan w:val="3"/>
            <w:noWrap w:val="0"/>
            <w:vAlign w:val="top"/>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7" w:hRule="atLeast"/>
          <w:jc w:val="center"/>
        </w:trPr>
        <w:tc>
          <w:tcPr>
            <w:tcW w:w="2042" w:type="dxa"/>
            <w:gridSpan w:val="2"/>
            <w:noWrap w:val="0"/>
            <w:vAlign w:val="top"/>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r>
              <w:rPr>
                <w:rFonts w:ascii="宋体" w:hAnsi="宋体" w:eastAsia="宋体" w:cs="宋体"/>
                <w:color w:val="auto"/>
                <w:spacing w:val="-6"/>
                <w:highlight w:val="none"/>
              </w:rPr>
              <w:t>医保专管员 1</w:t>
            </w:r>
          </w:p>
        </w:tc>
        <w:tc>
          <w:tcPr>
            <w:tcW w:w="2568" w:type="dxa"/>
            <w:gridSpan w:val="2"/>
            <w:noWrap w:val="0"/>
            <w:vAlign w:val="top"/>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c>
          <w:tcPr>
            <w:tcW w:w="1222" w:type="dxa"/>
            <w:gridSpan w:val="2"/>
            <w:noWrap w:val="0"/>
            <w:vAlign w:val="top"/>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r>
              <w:rPr>
                <w:rFonts w:ascii="宋体" w:hAnsi="宋体" w:eastAsia="宋体" w:cs="宋体"/>
                <w:color w:val="auto"/>
                <w:spacing w:val="-6"/>
                <w:highlight w:val="none"/>
              </w:rPr>
              <w:t>联系电话</w:t>
            </w:r>
          </w:p>
        </w:tc>
        <w:tc>
          <w:tcPr>
            <w:tcW w:w="2740" w:type="dxa"/>
            <w:gridSpan w:val="3"/>
            <w:noWrap w:val="0"/>
            <w:vAlign w:val="top"/>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8" w:hRule="atLeast"/>
          <w:jc w:val="center"/>
        </w:trPr>
        <w:tc>
          <w:tcPr>
            <w:tcW w:w="2042" w:type="dxa"/>
            <w:gridSpan w:val="2"/>
            <w:noWrap w:val="0"/>
            <w:vAlign w:val="top"/>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r>
              <w:rPr>
                <w:rFonts w:ascii="宋体" w:hAnsi="宋体" w:eastAsia="宋体" w:cs="宋体"/>
                <w:color w:val="auto"/>
                <w:spacing w:val="-6"/>
                <w:highlight w:val="none"/>
              </w:rPr>
              <w:t>医保专管员 2</w:t>
            </w:r>
          </w:p>
        </w:tc>
        <w:tc>
          <w:tcPr>
            <w:tcW w:w="2568" w:type="dxa"/>
            <w:gridSpan w:val="2"/>
            <w:noWrap w:val="0"/>
            <w:vAlign w:val="top"/>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c>
          <w:tcPr>
            <w:tcW w:w="1222" w:type="dxa"/>
            <w:gridSpan w:val="2"/>
            <w:noWrap w:val="0"/>
            <w:vAlign w:val="top"/>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r>
              <w:rPr>
                <w:rFonts w:ascii="宋体" w:hAnsi="宋体" w:eastAsia="宋体" w:cs="宋体"/>
                <w:color w:val="auto"/>
                <w:spacing w:val="-6"/>
                <w:highlight w:val="none"/>
              </w:rPr>
              <w:t>联系电话</w:t>
            </w:r>
          </w:p>
        </w:tc>
        <w:tc>
          <w:tcPr>
            <w:tcW w:w="2740" w:type="dxa"/>
            <w:gridSpan w:val="3"/>
            <w:noWrap w:val="0"/>
            <w:vAlign w:val="top"/>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2" w:hRule="atLeast"/>
          <w:jc w:val="center"/>
        </w:trPr>
        <w:tc>
          <w:tcPr>
            <w:tcW w:w="2042" w:type="dxa"/>
            <w:gridSpan w:val="2"/>
            <w:noWrap w:val="0"/>
            <w:vAlign w:val="top"/>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r>
              <w:rPr>
                <w:rFonts w:ascii="宋体" w:hAnsi="宋体" w:eastAsia="宋体" w:cs="宋体"/>
                <w:color w:val="auto"/>
                <w:spacing w:val="-6"/>
                <w:highlight w:val="none"/>
              </w:rPr>
              <w:t>财务专管员</w:t>
            </w:r>
          </w:p>
        </w:tc>
        <w:tc>
          <w:tcPr>
            <w:tcW w:w="2568" w:type="dxa"/>
            <w:gridSpan w:val="2"/>
            <w:noWrap w:val="0"/>
            <w:vAlign w:val="top"/>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c>
          <w:tcPr>
            <w:tcW w:w="1222" w:type="dxa"/>
            <w:gridSpan w:val="2"/>
            <w:noWrap w:val="0"/>
            <w:vAlign w:val="top"/>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r>
              <w:rPr>
                <w:rFonts w:ascii="宋体" w:hAnsi="宋体" w:eastAsia="宋体" w:cs="宋体"/>
                <w:color w:val="auto"/>
                <w:spacing w:val="-6"/>
                <w:highlight w:val="none"/>
              </w:rPr>
              <w:t>联系电话</w:t>
            </w:r>
          </w:p>
        </w:tc>
        <w:tc>
          <w:tcPr>
            <w:tcW w:w="2740" w:type="dxa"/>
            <w:gridSpan w:val="3"/>
            <w:noWrap w:val="0"/>
            <w:vAlign w:val="top"/>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16" w:hRule="atLeast"/>
          <w:jc w:val="center"/>
        </w:trPr>
        <w:tc>
          <w:tcPr>
            <w:tcW w:w="728" w:type="dxa"/>
            <w:vMerge w:val="restart"/>
            <w:tcBorders>
              <w:bottom w:val="nil"/>
            </w:tcBorders>
            <w:noWrap w:val="0"/>
            <w:textDirection w:val="tbRlV"/>
            <w:vAlign w:val="top"/>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r>
              <w:rPr>
                <w:rFonts w:ascii="宋体" w:hAnsi="宋体" w:eastAsia="宋体" w:cs="宋体"/>
                <w:color w:val="auto"/>
                <w:spacing w:val="-6"/>
                <w:highlight w:val="none"/>
              </w:rPr>
              <w:t>人员构成</w:t>
            </w:r>
          </w:p>
        </w:tc>
        <w:tc>
          <w:tcPr>
            <w:tcW w:w="1314" w:type="dxa"/>
            <w:noWrap w:val="0"/>
            <w:vAlign w:val="top"/>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r>
              <w:rPr>
                <w:rFonts w:ascii="宋体" w:hAnsi="宋体" w:eastAsia="宋体" w:cs="宋体"/>
                <w:color w:val="auto"/>
                <w:spacing w:val="-6"/>
                <w:highlight w:val="none"/>
              </w:rPr>
              <w:t>执业药师人数</w:t>
            </w:r>
          </w:p>
        </w:tc>
        <w:tc>
          <w:tcPr>
            <w:tcW w:w="1130" w:type="dxa"/>
            <w:noWrap w:val="0"/>
            <w:vAlign w:val="top"/>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c>
          <w:tcPr>
            <w:tcW w:w="1438" w:type="dxa"/>
            <w:noWrap w:val="0"/>
            <w:vAlign w:val="top"/>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r>
              <w:rPr>
                <w:rFonts w:ascii="宋体" w:hAnsi="宋体" w:eastAsia="宋体" w:cs="宋体"/>
                <w:color w:val="auto"/>
                <w:spacing w:val="-6"/>
                <w:highlight w:val="none"/>
              </w:rPr>
              <w:t>药师（中药师）人数</w:t>
            </w:r>
          </w:p>
        </w:tc>
        <w:tc>
          <w:tcPr>
            <w:tcW w:w="1222" w:type="dxa"/>
            <w:gridSpan w:val="2"/>
            <w:noWrap w:val="0"/>
            <w:vAlign w:val="top"/>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c>
          <w:tcPr>
            <w:tcW w:w="1515" w:type="dxa"/>
            <w:gridSpan w:val="2"/>
            <w:noWrap w:val="0"/>
            <w:vAlign w:val="top"/>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r>
              <w:rPr>
                <w:rFonts w:ascii="宋体" w:hAnsi="宋体" w:eastAsia="宋体" w:cs="宋体"/>
                <w:color w:val="auto"/>
                <w:spacing w:val="-6"/>
                <w:highlight w:val="none"/>
              </w:rPr>
              <w:t>其他营业人数</w:t>
            </w:r>
          </w:p>
        </w:tc>
        <w:tc>
          <w:tcPr>
            <w:tcW w:w="1225" w:type="dxa"/>
            <w:noWrap w:val="0"/>
            <w:vAlign w:val="top"/>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5" w:hRule="atLeast"/>
          <w:jc w:val="center"/>
        </w:trPr>
        <w:tc>
          <w:tcPr>
            <w:tcW w:w="728" w:type="dxa"/>
            <w:vMerge w:val="continue"/>
            <w:tcBorders>
              <w:top w:val="nil"/>
              <w:bottom w:val="nil"/>
            </w:tcBorders>
            <w:noWrap w:val="0"/>
            <w:textDirection w:val="tbRlV"/>
            <w:vAlign w:val="top"/>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c>
          <w:tcPr>
            <w:tcW w:w="2444" w:type="dxa"/>
            <w:gridSpan w:val="2"/>
            <w:noWrap w:val="0"/>
            <w:vAlign w:val="top"/>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r>
              <w:rPr>
                <w:rFonts w:ascii="宋体" w:hAnsi="宋体" w:eastAsia="宋体" w:cs="宋体"/>
                <w:color w:val="auto"/>
                <w:spacing w:val="-6"/>
                <w:highlight w:val="none"/>
              </w:rPr>
              <w:t>执业药师姓名</w:t>
            </w:r>
          </w:p>
        </w:tc>
        <w:tc>
          <w:tcPr>
            <w:tcW w:w="5400" w:type="dxa"/>
            <w:gridSpan w:val="6"/>
            <w:noWrap w:val="0"/>
            <w:vAlign w:val="top"/>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0" w:hRule="atLeast"/>
          <w:jc w:val="center"/>
        </w:trPr>
        <w:tc>
          <w:tcPr>
            <w:tcW w:w="728" w:type="dxa"/>
            <w:vMerge w:val="continue"/>
            <w:tcBorders>
              <w:top w:val="nil"/>
              <w:bottom w:val="nil"/>
            </w:tcBorders>
            <w:noWrap w:val="0"/>
            <w:textDirection w:val="tbRlV"/>
            <w:vAlign w:val="top"/>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c>
          <w:tcPr>
            <w:tcW w:w="2444" w:type="dxa"/>
            <w:gridSpan w:val="2"/>
            <w:noWrap w:val="0"/>
            <w:vAlign w:val="top"/>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r>
              <w:rPr>
                <w:rFonts w:ascii="宋体" w:hAnsi="宋体" w:eastAsia="宋体" w:cs="宋体"/>
                <w:color w:val="auto"/>
                <w:spacing w:val="-6"/>
                <w:highlight w:val="none"/>
              </w:rPr>
              <w:t>药师（中药师）姓名</w:t>
            </w:r>
          </w:p>
        </w:tc>
        <w:tc>
          <w:tcPr>
            <w:tcW w:w="5400" w:type="dxa"/>
            <w:gridSpan w:val="6"/>
            <w:noWrap w:val="0"/>
            <w:vAlign w:val="top"/>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5" w:hRule="atLeast"/>
          <w:jc w:val="center"/>
        </w:trPr>
        <w:tc>
          <w:tcPr>
            <w:tcW w:w="728" w:type="dxa"/>
            <w:vMerge w:val="continue"/>
            <w:tcBorders>
              <w:top w:val="nil"/>
            </w:tcBorders>
            <w:noWrap w:val="0"/>
            <w:textDirection w:val="tbRlV"/>
            <w:vAlign w:val="top"/>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c>
          <w:tcPr>
            <w:tcW w:w="2444" w:type="dxa"/>
            <w:gridSpan w:val="2"/>
            <w:noWrap w:val="0"/>
            <w:vAlign w:val="top"/>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r>
              <w:rPr>
                <w:rFonts w:ascii="宋体" w:hAnsi="宋体" w:eastAsia="宋体" w:cs="宋体"/>
                <w:color w:val="auto"/>
                <w:spacing w:val="-6"/>
                <w:highlight w:val="none"/>
              </w:rPr>
              <w:t>其他营业人员姓名</w:t>
            </w:r>
          </w:p>
        </w:tc>
        <w:tc>
          <w:tcPr>
            <w:tcW w:w="5400" w:type="dxa"/>
            <w:gridSpan w:val="6"/>
            <w:noWrap w:val="0"/>
            <w:vAlign w:val="top"/>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42" w:hRule="atLeast"/>
          <w:jc w:val="center"/>
        </w:trPr>
        <w:tc>
          <w:tcPr>
            <w:tcW w:w="728" w:type="dxa"/>
            <w:noWrap w:val="0"/>
            <w:textDirection w:val="tbRlV"/>
            <w:vAlign w:val="top"/>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r>
              <w:rPr>
                <w:rFonts w:ascii="宋体" w:hAnsi="宋体" w:eastAsia="宋体" w:cs="宋体"/>
                <w:color w:val="auto"/>
                <w:spacing w:val="-6"/>
                <w:highlight w:val="none"/>
              </w:rPr>
              <w:t>申请内容</w:t>
            </w:r>
          </w:p>
        </w:tc>
        <w:tc>
          <w:tcPr>
            <w:tcW w:w="7844" w:type="dxa"/>
            <w:gridSpan w:val="8"/>
            <w:noWrap w:val="0"/>
            <w:vAlign w:val="top"/>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p>
            <w:pPr>
              <w:pStyle w:val="21"/>
              <w:keepNext w:val="0"/>
              <w:keepLines w:val="0"/>
              <w:pageBreakBefore w:val="0"/>
              <w:widowControl w:val="0"/>
              <w:kinsoku/>
              <w:wordWrap w:val="0"/>
              <w:overflowPunct/>
              <w:topLinePunct w:val="0"/>
              <w:autoSpaceDE/>
              <w:autoSpaceDN/>
              <w:bidi w:val="0"/>
              <w:adjustRightInd/>
              <w:snapToGrid/>
              <w:spacing w:line="590" w:lineRule="exact"/>
              <w:ind w:left="0"/>
              <w:jc w:val="right"/>
              <w:textAlignment w:val="auto"/>
              <w:rPr>
                <w:rFonts w:hint="default" w:ascii="宋体" w:hAnsi="宋体" w:eastAsia="宋体" w:cs="宋体"/>
                <w:color w:val="auto"/>
                <w:spacing w:val="-6"/>
                <w:highlight w:val="none"/>
                <w:lang w:val="en-US" w:eastAsia="zh-CN"/>
              </w:rPr>
            </w:pPr>
            <w:r>
              <w:rPr>
                <w:rFonts w:hint="eastAsia" w:ascii="宋体" w:hAnsi="宋体" w:eastAsia="宋体" w:cs="宋体"/>
                <w:color w:val="auto"/>
                <w:spacing w:val="-6"/>
                <w:highlight w:val="none"/>
                <w:lang w:val="en-US" w:eastAsia="zh-CN"/>
              </w:rPr>
              <w:t>法</w:t>
            </w:r>
            <w:r>
              <w:rPr>
                <w:rFonts w:ascii="宋体" w:hAnsi="宋体" w:eastAsia="宋体" w:cs="宋体"/>
                <w:color w:val="auto"/>
                <w:spacing w:val="-6"/>
                <w:highlight w:val="none"/>
              </w:rPr>
              <w:t>定代表人签字：</w:t>
            </w:r>
            <w:r>
              <w:rPr>
                <w:rFonts w:hint="eastAsia" w:ascii="宋体" w:hAnsi="宋体" w:eastAsia="宋体" w:cs="宋体"/>
                <w:color w:val="auto"/>
                <w:spacing w:val="-6"/>
                <w:highlight w:val="none"/>
                <w:lang w:val="en-US" w:eastAsia="zh-CN"/>
              </w:rPr>
              <w:t xml:space="preserve">         </w:t>
            </w:r>
          </w:p>
          <w:p>
            <w:pPr>
              <w:pStyle w:val="21"/>
              <w:keepNext w:val="0"/>
              <w:keepLines w:val="0"/>
              <w:pageBreakBefore w:val="0"/>
              <w:widowControl w:val="0"/>
              <w:kinsoku/>
              <w:wordWrap w:val="0"/>
              <w:overflowPunct/>
              <w:topLinePunct w:val="0"/>
              <w:autoSpaceDE/>
              <w:autoSpaceDN/>
              <w:bidi w:val="0"/>
              <w:adjustRightInd/>
              <w:snapToGrid/>
              <w:spacing w:line="590" w:lineRule="exact"/>
              <w:ind w:left="0"/>
              <w:jc w:val="right"/>
              <w:textAlignment w:val="auto"/>
              <w:rPr>
                <w:rFonts w:hint="default" w:ascii="宋体" w:hAnsi="宋体" w:eastAsia="宋体" w:cs="宋体"/>
                <w:color w:val="auto"/>
                <w:spacing w:val="-6"/>
                <w:highlight w:val="none"/>
                <w:lang w:val="en-US" w:eastAsia="zh-CN"/>
              </w:rPr>
            </w:pPr>
            <w:r>
              <w:rPr>
                <w:rFonts w:ascii="宋体" w:hAnsi="宋体" w:eastAsia="宋体" w:cs="宋体"/>
                <w:color w:val="auto"/>
                <w:spacing w:val="-6"/>
                <w:highlight w:val="none"/>
              </w:rPr>
              <w:t>(申请单位印章)</w:t>
            </w:r>
            <w:r>
              <w:rPr>
                <w:rFonts w:hint="eastAsia" w:ascii="宋体" w:hAnsi="宋体" w:eastAsia="宋体" w:cs="宋体"/>
                <w:color w:val="auto"/>
                <w:spacing w:val="-6"/>
                <w:highlight w:val="none"/>
                <w:lang w:val="en-US" w:eastAsia="zh-CN"/>
              </w:rPr>
              <w:t xml:space="preserve">          </w:t>
            </w:r>
          </w:p>
          <w:p>
            <w:pPr>
              <w:pStyle w:val="21"/>
              <w:keepNext w:val="0"/>
              <w:keepLines w:val="0"/>
              <w:pageBreakBefore w:val="0"/>
              <w:widowControl w:val="0"/>
              <w:kinsoku/>
              <w:wordWrap w:val="0"/>
              <w:overflowPunct/>
              <w:topLinePunct w:val="0"/>
              <w:autoSpaceDE/>
              <w:autoSpaceDN/>
              <w:bidi w:val="0"/>
              <w:adjustRightInd/>
              <w:snapToGrid/>
              <w:spacing w:line="590" w:lineRule="exact"/>
              <w:ind w:left="0"/>
              <w:jc w:val="right"/>
              <w:textAlignment w:val="auto"/>
              <w:rPr>
                <w:rFonts w:hint="default" w:ascii="宋体" w:hAnsi="宋体" w:eastAsia="宋体" w:cs="宋体"/>
                <w:color w:val="auto"/>
                <w:spacing w:val="-6"/>
                <w:highlight w:val="none"/>
                <w:lang w:val="en-US" w:eastAsia="zh-CN"/>
              </w:rPr>
            </w:pPr>
            <w:r>
              <w:rPr>
                <w:rFonts w:ascii="宋体" w:hAnsi="宋体" w:eastAsia="宋体" w:cs="宋体"/>
                <w:color w:val="auto"/>
                <w:spacing w:val="-6"/>
                <w:highlight w:val="none"/>
              </w:rPr>
              <w:t>年   月   日</w:t>
            </w:r>
            <w:r>
              <w:rPr>
                <w:rFonts w:hint="eastAsia" w:ascii="宋体" w:hAnsi="宋体" w:eastAsia="宋体" w:cs="宋体"/>
                <w:color w:val="auto"/>
                <w:spacing w:val="-6"/>
                <w:highlight w:val="none"/>
                <w:lang w:val="en-US" w:eastAsia="zh-CN"/>
              </w:rPr>
              <w:t xml:space="preserve">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299" w:hRule="atLeast"/>
          <w:jc w:val="center"/>
        </w:trPr>
        <w:tc>
          <w:tcPr>
            <w:tcW w:w="728" w:type="dxa"/>
            <w:noWrap w:val="0"/>
            <w:vAlign w:val="top"/>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r>
              <w:rPr>
                <w:rFonts w:ascii="宋体" w:hAnsi="宋体" w:eastAsia="宋体" w:cs="宋体"/>
                <w:color w:val="auto"/>
                <w:spacing w:val="-6"/>
                <w:highlight w:val="none"/>
              </w:rPr>
              <w:t>医疗</w:t>
            </w:r>
          </w:p>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r>
              <w:rPr>
                <w:rFonts w:ascii="宋体" w:hAnsi="宋体" w:eastAsia="宋体" w:cs="宋体"/>
                <w:color w:val="auto"/>
                <w:spacing w:val="-6"/>
                <w:highlight w:val="none"/>
              </w:rPr>
              <w:t>保险</w:t>
            </w:r>
          </w:p>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r>
              <w:rPr>
                <w:rFonts w:ascii="宋体" w:hAnsi="宋体" w:eastAsia="宋体" w:cs="宋体"/>
                <w:color w:val="auto"/>
                <w:spacing w:val="-6"/>
                <w:highlight w:val="none"/>
              </w:rPr>
              <w:t>经办</w:t>
            </w:r>
          </w:p>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r>
              <w:rPr>
                <w:rFonts w:ascii="宋体" w:hAnsi="宋体" w:eastAsia="宋体" w:cs="宋体"/>
                <w:color w:val="auto"/>
                <w:spacing w:val="-6"/>
                <w:highlight w:val="none"/>
              </w:rPr>
              <w:t>机构</w:t>
            </w:r>
          </w:p>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r>
              <w:rPr>
                <w:rFonts w:ascii="宋体" w:hAnsi="宋体" w:eastAsia="宋体" w:cs="宋体"/>
                <w:color w:val="auto"/>
                <w:spacing w:val="-6"/>
                <w:highlight w:val="none"/>
              </w:rPr>
              <w:t>审查</w:t>
            </w:r>
          </w:p>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r>
              <w:rPr>
                <w:rFonts w:ascii="宋体" w:hAnsi="宋体" w:eastAsia="宋体" w:cs="宋体"/>
                <w:color w:val="auto"/>
                <w:spacing w:val="-6"/>
                <w:highlight w:val="none"/>
              </w:rPr>
              <w:t>意见</w:t>
            </w:r>
          </w:p>
        </w:tc>
        <w:tc>
          <w:tcPr>
            <w:tcW w:w="7844" w:type="dxa"/>
            <w:gridSpan w:val="8"/>
            <w:noWrap w:val="0"/>
            <w:vAlign w:val="top"/>
          </w:tcPr>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p>
            <w:pPr>
              <w:pStyle w:val="21"/>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ascii="宋体" w:hAnsi="宋体" w:eastAsia="宋体" w:cs="宋体"/>
                <w:color w:val="auto"/>
                <w:spacing w:val="-6"/>
                <w:highlight w:val="none"/>
              </w:rPr>
            </w:pPr>
          </w:p>
          <w:p>
            <w:pPr>
              <w:pStyle w:val="21"/>
              <w:keepNext w:val="0"/>
              <w:keepLines w:val="0"/>
              <w:pageBreakBefore w:val="0"/>
              <w:widowControl w:val="0"/>
              <w:kinsoku/>
              <w:wordWrap w:val="0"/>
              <w:overflowPunct/>
              <w:topLinePunct w:val="0"/>
              <w:autoSpaceDE/>
              <w:autoSpaceDN/>
              <w:bidi w:val="0"/>
              <w:adjustRightInd/>
              <w:snapToGrid/>
              <w:spacing w:line="590" w:lineRule="exact"/>
              <w:ind w:left="0"/>
              <w:jc w:val="right"/>
              <w:textAlignment w:val="auto"/>
              <w:rPr>
                <w:rFonts w:hint="default" w:ascii="宋体" w:hAnsi="宋体" w:eastAsia="宋体" w:cs="宋体"/>
                <w:color w:val="auto"/>
                <w:spacing w:val="-6"/>
                <w:highlight w:val="none"/>
                <w:lang w:val="en-US" w:eastAsia="zh-CN"/>
              </w:rPr>
            </w:pPr>
            <w:r>
              <w:rPr>
                <w:rFonts w:ascii="宋体" w:hAnsi="宋体" w:eastAsia="宋体" w:cs="宋体"/>
                <w:color w:val="auto"/>
                <w:spacing w:val="-6"/>
                <w:highlight w:val="none"/>
              </w:rPr>
              <w:t>(印章)</w:t>
            </w:r>
            <w:r>
              <w:rPr>
                <w:rFonts w:hint="eastAsia" w:ascii="宋体" w:hAnsi="宋体" w:eastAsia="宋体" w:cs="宋体"/>
                <w:color w:val="auto"/>
                <w:spacing w:val="-6"/>
                <w:highlight w:val="none"/>
                <w:lang w:val="en-US" w:eastAsia="zh-CN"/>
              </w:rPr>
              <w:t xml:space="preserve">              </w:t>
            </w:r>
          </w:p>
          <w:p>
            <w:pPr>
              <w:pStyle w:val="21"/>
              <w:keepNext w:val="0"/>
              <w:keepLines w:val="0"/>
              <w:pageBreakBefore w:val="0"/>
              <w:widowControl w:val="0"/>
              <w:kinsoku/>
              <w:wordWrap w:val="0"/>
              <w:overflowPunct/>
              <w:topLinePunct w:val="0"/>
              <w:autoSpaceDE/>
              <w:autoSpaceDN/>
              <w:bidi w:val="0"/>
              <w:adjustRightInd/>
              <w:snapToGrid/>
              <w:spacing w:line="590" w:lineRule="exact"/>
              <w:ind w:left="0"/>
              <w:jc w:val="right"/>
              <w:textAlignment w:val="auto"/>
              <w:rPr>
                <w:rFonts w:hint="default" w:ascii="宋体" w:hAnsi="宋体" w:eastAsia="宋体" w:cs="宋体"/>
                <w:color w:val="auto"/>
                <w:spacing w:val="-6"/>
                <w:highlight w:val="none"/>
                <w:lang w:val="en-US" w:eastAsia="zh-CN"/>
              </w:rPr>
            </w:pPr>
            <w:r>
              <w:rPr>
                <w:rFonts w:ascii="宋体" w:hAnsi="宋体" w:eastAsia="宋体" w:cs="宋体"/>
                <w:color w:val="auto"/>
                <w:spacing w:val="-6"/>
                <w:highlight w:val="none"/>
              </w:rPr>
              <w:t>年  月  日</w:t>
            </w:r>
            <w:r>
              <w:rPr>
                <w:rFonts w:hint="eastAsia" w:ascii="宋体" w:hAnsi="宋体" w:eastAsia="宋体" w:cs="宋体"/>
                <w:color w:val="auto"/>
                <w:spacing w:val="-6"/>
                <w:highlight w:val="none"/>
                <w:lang w:val="en-US" w:eastAsia="zh-CN"/>
              </w:rPr>
              <w:t xml:space="preserve">           </w:t>
            </w:r>
          </w:p>
        </w:tc>
      </w:tr>
    </w:tbl>
    <w:p>
      <w:pPr>
        <w:pStyle w:val="2"/>
        <w:keepNext w:val="0"/>
        <w:keepLines w:val="0"/>
        <w:pageBreakBefore w:val="0"/>
        <w:wordWrap/>
        <w:overflowPunct/>
        <w:topLinePunct w:val="0"/>
        <w:bidi w:val="0"/>
        <w:spacing w:line="590" w:lineRule="exact"/>
        <w:rPr>
          <w:rFonts w:hint="default"/>
        </w:rPr>
      </w:pPr>
    </w:p>
    <w:p>
      <w:pPr>
        <w:keepNext w:val="0"/>
        <w:keepLines w:val="0"/>
        <w:pageBreakBefore w:val="0"/>
        <w:wordWrap/>
        <w:overflowPunct/>
        <w:topLinePunct w:val="0"/>
        <w:bidi w:val="0"/>
        <w:spacing w:line="590" w:lineRule="exact"/>
        <w:rPr>
          <w:rFonts w:hint="default"/>
        </w:rPr>
        <w:sectPr>
          <w:headerReference r:id="rId3" w:type="default"/>
          <w:footerReference r:id="rId4" w:type="default"/>
          <w:pgSz w:w="11906" w:h="16838"/>
          <w:pgMar w:top="1962" w:right="1474" w:bottom="1474" w:left="1587" w:header="850" w:footer="0" w:gutter="0"/>
          <w:pgNumType w:fmt="numberInDash"/>
          <w:cols w:space="0" w:num="1"/>
          <w:rtlGutter w:val="0"/>
          <w:docGrid w:type="lines" w:linePitch="446" w:charSpace="0"/>
        </w:sectPr>
      </w:pPr>
    </w:p>
    <w:p>
      <w:pPr>
        <w:keepNext w:val="0"/>
        <w:keepLines w:val="0"/>
        <w:pageBreakBefore w:val="0"/>
        <w:widowControl w:val="0"/>
        <w:kinsoku/>
        <w:wordWrap/>
        <w:overflowPunct/>
        <w:topLinePunct w:val="0"/>
        <w:autoSpaceDE/>
        <w:autoSpaceDN/>
        <w:bidi w:val="0"/>
        <w:adjustRightInd/>
        <w:snapToGrid/>
        <w:spacing w:line="590" w:lineRule="exac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附件3</w:t>
      </w:r>
    </w:p>
    <w:p>
      <w:pPr>
        <w:pStyle w:val="2"/>
        <w:rPr>
          <w:rFonts w:hint="eastAsia"/>
        </w:rPr>
      </w:pPr>
    </w:p>
    <w:p>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芜湖市基本医疗保险定点医疗机构评分标准表</w:t>
      </w:r>
    </w:p>
    <w:p>
      <w:pPr>
        <w:keepNext w:val="0"/>
        <w:keepLines w:val="0"/>
        <w:pageBreakBefore w:val="0"/>
        <w:wordWrap/>
        <w:overflowPunct/>
        <w:topLinePunct w:val="0"/>
        <w:bidi w:val="0"/>
        <w:spacing w:line="59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（住院类医疗机构 80分合格）</w:t>
      </w:r>
    </w:p>
    <w:p>
      <w:pPr>
        <w:pStyle w:val="2"/>
        <w:rPr>
          <w:rFonts w:hint="eastAsia"/>
        </w:rPr>
      </w:pPr>
    </w:p>
    <w:tbl>
      <w:tblPr>
        <w:tblStyle w:val="12"/>
        <w:tblW w:w="141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72"/>
        <w:gridCol w:w="1968"/>
        <w:gridCol w:w="5301"/>
        <w:gridCol w:w="891"/>
        <w:gridCol w:w="858"/>
        <w:gridCol w:w="449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overflowPunct/>
              <w:topLinePunct w:val="0"/>
              <w:bidi w:val="0"/>
              <w:spacing w:line="590" w:lineRule="exact"/>
              <w:jc w:val="center"/>
              <w:textAlignment w:val="center"/>
              <w:rPr>
                <w:rFonts w:ascii="黑体" w:hAnsi="宋体" w:eastAsia="黑体" w:cs="黑体"/>
                <w:i w:val="0"/>
                <w:color w:val="000000"/>
                <w:sz w:val="22"/>
                <w:szCs w:val="22"/>
                <w:u w:val="none"/>
              </w:rPr>
            </w:pPr>
            <w:r>
              <w:rPr>
                <w:rFonts w:hint="eastAsia" w:ascii="黑体" w:hAnsi="宋体" w:eastAsia="黑体" w:cs="黑体"/>
                <w:i w:val="0"/>
                <w:color w:val="000000"/>
                <w:kern w:val="0"/>
                <w:sz w:val="22"/>
                <w:szCs w:val="22"/>
                <w:u w:val="none"/>
                <w:lang w:val="en-US" w:eastAsia="zh-CN" w:bidi="ar"/>
              </w:rPr>
              <w:t>医疗机构名称</w:t>
            </w:r>
          </w:p>
        </w:tc>
        <w:tc>
          <w:tcPr>
            <w:tcW w:w="1154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ordWrap/>
              <w:overflowPunct/>
              <w:topLinePunct w:val="0"/>
              <w:bidi w:val="0"/>
              <w:spacing w:line="590" w:lineRule="exact"/>
              <w:jc w:val="center"/>
              <w:rPr>
                <w:rFonts w:hint="eastAsia" w:ascii="Arial" w:hAnsi="Arial" w:eastAsia="宋体" w:cs="Arial"/>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26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ordWrap/>
              <w:overflowPunct/>
              <w:topLinePunct w:val="0"/>
              <w:bidi w:val="0"/>
              <w:spacing w:line="590" w:lineRule="exact"/>
              <w:jc w:val="center"/>
              <w:rPr>
                <w:rFonts w:hint="default" w:ascii="Arial" w:hAnsi="Arial" w:eastAsia="宋体" w:cs="Arial"/>
                <w:i w:val="0"/>
                <w:color w:val="000000"/>
                <w:sz w:val="21"/>
                <w:szCs w:val="21"/>
                <w:u w:val="none"/>
              </w:rPr>
            </w:pPr>
          </w:p>
        </w:tc>
        <w:tc>
          <w:tcPr>
            <w:tcW w:w="1154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overflowPunct/>
              <w:topLinePunct w:val="0"/>
              <w:bidi w:val="0"/>
              <w:spacing w:line="590" w:lineRule="exact"/>
              <w:jc w:val="center"/>
              <w:textAlignment w:val="center"/>
              <w:rPr>
                <w:rFonts w:hint="eastAsia" w:ascii="黑体" w:hAnsi="宋体" w:eastAsia="黑体" w:cs="黑体"/>
                <w:i w:val="0"/>
                <w:color w:val="000000"/>
                <w:sz w:val="28"/>
                <w:szCs w:val="28"/>
                <w:u w:val="none"/>
              </w:rPr>
            </w:pPr>
            <w:r>
              <w:rPr>
                <w:rFonts w:hint="eastAsia" w:ascii="黑体" w:hAnsi="宋体" w:eastAsia="黑体" w:cs="黑体"/>
                <w:i w:val="0"/>
                <w:color w:val="000000"/>
                <w:kern w:val="0"/>
                <w:sz w:val="28"/>
                <w:szCs w:val="28"/>
                <w:u w:val="none"/>
                <w:lang w:val="en-US" w:eastAsia="zh-CN" w:bidi="ar"/>
              </w:rPr>
              <w:t>否</w:t>
            </w:r>
            <w:r>
              <w:rPr>
                <w:rStyle w:val="23"/>
                <w:lang w:val="en-US" w:eastAsia="zh-CN" w:bidi="ar"/>
              </w:rPr>
              <w:t xml:space="preserve"> 决 项 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overflowPunct/>
              <w:topLinePunct w:val="0"/>
              <w:bidi w:val="0"/>
              <w:spacing w:line="590" w:lineRule="exact"/>
              <w:jc w:val="center"/>
              <w:textAlignment w:val="center"/>
              <w:rPr>
                <w:rFonts w:hint="eastAsia" w:ascii="宋体" w:hAnsi="宋体" w:eastAsia="宋体" w:cs="宋体"/>
                <w:b/>
                <w:i w:val="0"/>
                <w:color w:val="000000"/>
                <w:sz w:val="19"/>
                <w:szCs w:val="19"/>
                <w:u w:val="none"/>
              </w:rPr>
            </w:pPr>
            <w:r>
              <w:rPr>
                <w:rFonts w:hint="eastAsia" w:ascii="宋体" w:hAnsi="宋体" w:eastAsia="宋体" w:cs="宋体"/>
                <w:b/>
                <w:i w:val="0"/>
                <w:color w:val="000000"/>
                <w:kern w:val="0"/>
                <w:sz w:val="19"/>
                <w:szCs w:val="19"/>
                <w:u w:val="none"/>
                <w:lang w:val="en-US" w:eastAsia="zh-CN" w:bidi="ar"/>
              </w:rPr>
              <w:t>序号</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overflowPunct/>
              <w:topLinePunct w:val="0"/>
              <w:bidi w:val="0"/>
              <w:spacing w:line="590" w:lineRule="exact"/>
              <w:jc w:val="center"/>
              <w:textAlignment w:val="center"/>
              <w:rPr>
                <w:rFonts w:hint="eastAsia" w:ascii="宋体" w:hAnsi="宋体" w:eastAsia="宋体" w:cs="宋体"/>
                <w:b/>
                <w:i w:val="0"/>
                <w:color w:val="000000"/>
                <w:sz w:val="19"/>
                <w:szCs w:val="19"/>
                <w:u w:val="none"/>
              </w:rPr>
            </w:pPr>
            <w:r>
              <w:rPr>
                <w:rFonts w:hint="eastAsia" w:ascii="宋体" w:hAnsi="宋体" w:eastAsia="宋体" w:cs="宋体"/>
                <w:b/>
                <w:i w:val="0"/>
                <w:color w:val="000000"/>
                <w:kern w:val="0"/>
                <w:sz w:val="19"/>
                <w:szCs w:val="19"/>
                <w:u w:val="none"/>
                <w:lang w:val="en-US" w:eastAsia="zh-CN" w:bidi="ar"/>
              </w:rPr>
              <w:t>评定项目</w:t>
            </w:r>
          </w:p>
        </w:tc>
        <w:tc>
          <w:tcPr>
            <w:tcW w:w="53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overflowPunct/>
              <w:topLinePunct w:val="0"/>
              <w:bidi w:val="0"/>
              <w:spacing w:line="590" w:lineRule="exact"/>
              <w:jc w:val="center"/>
              <w:textAlignment w:val="center"/>
              <w:rPr>
                <w:rFonts w:hint="eastAsia" w:ascii="宋体" w:hAnsi="宋体" w:eastAsia="宋体" w:cs="宋体"/>
                <w:b/>
                <w:i w:val="0"/>
                <w:color w:val="000000"/>
                <w:sz w:val="19"/>
                <w:szCs w:val="19"/>
                <w:u w:val="none"/>
              </w:rPr>
            </w:pPr>
            <w:r>
              <w:rPr>
                <w:rFonts w:hint="eastAsia" w:ascii="宋体" w:hAnsi="宋体" w:eastAsia="宋体" w:cs="宋体"/>
                <w:b/>
                <w:i w:val="0"/>
                <w:color w:val="000000"/>
                <w:kern w:val="0"/>
                <w:sz w:val="19"/>
                <w:szCs w:val="19"/>
                <w:u w:val="none"/>
                <w:lang w:val="en-US" w:eastAsia="zh-CN" w:bidi="ar"/>
              </w:rPr>
              <w:t>评定标准</w:t>
            </w:r>
          </w:p>
        </w:tc>
        <w:tc>
          <w:tcPr>
            <w:tcW w:w="17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overflowPunct/>
              <w:topLinePunct w:val="0"/>
              <w:bidi w:val="0"/>
              <w:spacing w:line="590" w:lineRule="exact"/>
              <w:jc w:val="center"/>
              <w:textAlignment w:val="center"/>
              <w:rPr>
                <w:rFonts w:hint="eastAsia" w:ascii="宋体" w:hAnsi="宋体" w:eastAsia="宋体" w:cs="宋体"/>
                <w:b/>
                <w:i w:val="0"/>
                <w:color w:val="000000"/>
                <w:sz w:val="19"/>
                <w:szCs w:val="19"/>
                <w:u w:val="none"/>
              </w:rPr>
            </w:pPr>
            <w:r>
              <w:rPr>
                <w:rFonts w:hint="eastAsia" w:ascii="宋体" w:hAnsi="宋体" w:eastAsia="宋体" w:cs="宋体"/>
                <w:b/>
                <w:i w:val="0"/>
                <w:color w:val="000000"/>
                <w:kern w:val="0"/>
                <w:sz w:val="19"/>
                <w:szCs w:val="19"/>
                <w:u w:val="none"/>
                <w:lang w:val="en-US" w:eastAsia="zh-CN" w:bidi="ar"/>
              </w:rPr>
              <w:t>评</w:t>
            </w:r>
            <w:r>
              <w:rPr>
                <w:rStyle w:val="24"/>
                <w:lang w:val="en-US" w:eastAsia="zh-CN" w:bidi="ar"/>
              </w:rPr>
              <w:t xml:space="preserve"> </w:t>
            </w:r>
            <w:r>
              <w:rPr>
                <w:rStyle w:val="25"/>
                <w:lang w:val="en-US" w:eastAsia="zh-CN" w:bidi="ar"/>
              </w:rPr>
              <w:t>定</w:t>
            </w:r>
            <w:r>
              <w:rPr>
                <w:rStyle w:val="24"/>
                <w:lang w:val="en-US" w:eastAsia="zh-CN" w:bidi="ar"/>
              </w:rPr>
              <w:t xml:space="preserve"> </w:t>
            </w:r>
            <w:r>
              <w:rPr>
                <w:rStyle w:val="25"/>
                <w:lang w:val="en-US" w:eastAsia="zh-CN" w:bidi="ar"/>
              </w:rPr>
              <w:t>情</w:t>
            </w:r>
            <w:r>
              <w:rPr>
                <w:rStyle w:val="24"/>
                <w:lang w:val="en-US" w:eastAsia="zh-CN" w:bidi="ar"/>
              </w:rPr>
              <w:t xml:space="preserve"> </w:t>
            </w:r>
            <w:r>
              <w:rPr>
                <w:rStyle w:val="25"/>
                <w:lang w:val="en-US" w:eastAsia="zh-CN" w:bidi="ar"/>
              </w:rPr>
              <w:t>况</w:t>
            </w:r>
          </w:p>
        </w:tc>
        <w:tc>
          <w:tcPr>
            <w:tcW w:w="4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overflowPunct/>
              <w:topLinePunct w:val="0"/>
              <w:bidi w:val="0"/>
              <w:spacing w:line="590" w:lineRule="exact"/>
              <w:jc w:val="center"/>
              <w:textAlignment w:val="center"/>
              <w:rPr>
                <w:rFonts w:hint="eastAsia" w:ascii="宋体" w:hAnsi="宋体" w:eastAsia="宋体" w:cs="宋体"/>
                <w:b/>
                <w:i w:val="0"/>
                <w:color w:val="000000"/>
                <w:sz w:val="19"/>
                <w:szCs w:val="19"/>
                <w:u w:val="none"/>
              </w:rPr>
            </w:pPr>
            <w:r>
              <w:rPr>
                <w:rFonts w:hint="eastAsia" w:ascii="宋体" w:hAnsi="宋体" w:eastAsia="宋体" w:cs="宋体"/>
                <w:b/>
                <w:i w:val="0"/>
                <w:color w:val="000000"/>
                <w:kern w:val="0"/>
                <w:sz w:val="19"/>
                <w:szCs w:val="19"/>
                <w:u w:val="none"/>
                <w:lang w:val="en-US" w:eastAsia="zh-CN" w:bidi="ar"/>
              </w:rPr>
              <w:t>需提交相关证明材料及考核办法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0"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ascii="仿宋_GB2312" w:hAnsi="宋体" w:eastAsia="仿宋_GB2312" w:cs="仿宋_GB2312"/>
                <w:i w:val="0"/>
                <w:color w:val="000000"/>
                <w:sz w:val="19"/>
                <w:szCs w:val="19"/>
                <w:u w:val="none"/>
              </w:rPr>
            </w:pPr>
            <w:r>
              <w:rPr>
                <w:rFonts w:hint="eastAsia" w:ascii="仿宋_GB2312" w:hAnsi="宋体" w:eastAsia="仿宋_GB2312" w:cs="仿宋_GB2312"/>
                <w:i w:val="0"/>
                <w:color w:val="000000"/>
                <w:kern w:val="0"/>
                <w:sz w:val="19"/>
                <w:szCs w:val="19"/>
                <w:u w:val="none"/>
                <w:lang w:val="en-US" w:eastAsia="zh-CN" w:bidi="ar"/>
              </w:rPr>
              <w:t>1</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宋体" w:eastAsia="仿宋_GB2312" w:cs="仿宋_GB2312"/>
                <w:i w:val="0"/>
                <w:color w:val="000000"/>
                <w:sz w:val="19"/>
                <w:szCs w:val="19"/>
                <w:u w:val="none"/>
              </w:rPr>
            </w:pPr>
            <w:r>
              <w:rPr>
                <w:rFonts w:hint="eastAsia" w:ascii="仿宋_GB2312" w:hAnsi="宋体" w:eastAsia="仿宋_GB2312" w:cs="仿宋_GB2312"/>
                <w:i w:val="0"/>
                <w:color w:val="000000"/>
                <w:kern w:val="0"/>
                <w:sz w:val="19"/>
                <w:szCs w:val="19"/>
                <w:u w:val="none"/>
                <w:lang w:val="en-US" w:eastAsia="zh-CN" w:bidi="ar"/>
              </w:rPr>
              <w:t>医疗机构执业资格情况</w:t>
            </w:r>
          </w:p>
        </w:tc>
        <w:tc>
          <w:tcPr>
            <w:tcW w:w="53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left"/>
              <w:textAlignment w:val="center"/>
              <w:rPr>
                <w:rFonts w:hint="eastAsia" w:ascii="仿宋_GB2312" w:hAnsi="宋体" w:eastAsia="仿宋_GB2312" w:cs="仿宋_GB2312"/>
                <w:i w:val="0"/>
                <w:color w:val="000000"/>
                <w:sz w:val="19"/>
                <w:szCs w:val="19"/>
                <w:u w:val="none"/>
              </w:rPr>
            </w:pPr>
            <w:r>
              <w:rPr>
                <w:rFonts w:hint="eastAsia" w:ascii="仿宋_GB2312" w:hAnsi="宋体" w:eastAsia="仿宋_GB2312" w:cs="仿宋_GB2312"/>
                <w:i w:val="0"/>
                <w:color w:val="000000"/>
                <w:kern w:val="0"/>
                <w:sz w:val="19"/>
                <w:szCs w:val="19"/>
                <w:u w:val="none"/>
                <w:lang w:val="en-US" w:eastAsia="zh-CN" w:bidi="ar"/>
              </w:rPr>
              <w:t>依法取得有效医疗机构执业许可证或中医诊所备案证或军队医疗机构为民服务资质，正式运营至少3个月</w:t>
            </w:r>
          </w:p>
        </w:tc>
        <w:tc>
          <w:tcPr>
            <w:tcW w:w="17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宋体" w:eastAsia="仿宋_GB2312" w:cs="仿宋_GB2312"/>
                <w:i w:val="0"/>
                <w:color w:val="000000"/>
                <w:sz w:val="19"/>
                <w:szCs w:val="19"/>
                <w:u w:val="none"/>
              </w:rPr>
            </w:pPr>
            <w:r>
              <w:rPr>
                <w:rFonts w:hint="eastAsia" w:ascii="仿宋_GB2312" w:hAnsi="宋体" w:eastAsia="仿宋_GB2312" w:cs="仿宋_GB2312"/>
                <w:i w:val="0"/>
                <w:color w:val="000000"/>
                <w:kern w:val="0"/>
                <w:sz w:val="19"/>
                <w:szCs w:val="19"/>
                <w:u w:val="none"/>
                <w:lang w:val="en-US" w:eastAsia="zh-CN" w:bidi="ar"/>
              </w:rPr>
              <w:t>□符合</w:t>
            </w:r>
            <w:r>
              <w:rPr>
                <w:rStyle w:val="26"/>
                <w:rFonts w:hAnsi="宋体"/>
                <w:lang w:val="en-US" w:eastAsia="zh-CN" w:bidi="ar"/>
              </w:rPr>
              <w:t xml:space="preserve"> □不符合</w:t>
            </w:r>
          </w:p>
        </w:tc>
        <w:tc>
          <w:tcPr>
            <w:tcW w:w="4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left"/>
              <w:textAlignment w:val="center"/>
              <w:rPr>
                <w:rFonts w:hint="eastAsia" w:ascii="仿宋_GB2312" w:hAnsi="宋体" w:eastAsia="仿宋_GB2312" w:cs="仿宋_GB2312"/>
                <w:i w:val="0"/>
                <w:color w:val="000000"/>
                <w:sz w:val="19"/>
                <w:szCs w:val="19"/>
                <w:u w:val="none"/>
              </w:rPr>
            </w:pPr>
            <w:r>
              <w:rPr>
                <w:rFonts w:hint="eastAsia" w:ascii="仿宋_GB2312" w:hAnsi="仿宋_GB2312" w:eastAsia="仿宋_GB2312" w:cs="仿宋_GB2312"/>
                <w:snapToGrid w:val="0"/>
                <w:color w:val="000000"/>
                <w:spacing w:val="4"/>
                <w:kern w:val="0"/>
                <w:sz w:val="19"/>
                <w:szCs w:val="19"/>
                <w:highlight w:val="none"/>
                <w:lang w:val="en-US" w:eastAsia="zh-CN" w:bidi="ar-SA"/>
              </w:rPr>
              <w:t>相关许可证书复印件，若为营利性医疗机构，还需提供《营业执照》副本复印件。3个月以来的水电缴费、人员工资发放流水等。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宋体" w:eastAsia="仿宋_GB2312" w:cs="仿宋_GB2312"/>
                <w:i w:val="0"/>
                <w:color w:val="000000"/>
                <w:sz w:val="19"/>
                <w:szCs w:val="19"/>
                <w:u w:val="none"/>
              </w:rPr>
            </w:pPr>
            <w:r>
              <w:rPr>
                <w:rFonts w:hint="eastAsia" w:ascii="仿宋_GB2312" w:hAnsi="宋体" w:eastAsia="仿宋_GB2312" w:cs="仿宋_GB2312"/>
                <w:i w:val="0"/>
                <w:color w:val="000000"/>
                <w:kern w:val="0"/>
                <w:sz w:val="19"/>
                <w:szCs w:val="19"/>
                <w:u w:val="none"/>
                <w:lang w:val="en-US" w:eastAsia="zh-CN" w:bidi="ar"/>
              </w:rPr>
              <w:t>2</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宋体" w:eastAsia="仿宋_GB2312" w:cs="仿宋_GB2312"/>
                <w:i w:val="0"/>
                <w:color w:val="000000"/>
                <w:sz w:val="19"/>
                <w:szCs w:val="19"/>
                <w:u w:val="none"/>
              </w:rPr>
            </w:pPr>
            <w:r>
              <w:rPr>
                <w:rFonts w:hint="eastAsia" w:ascii="仿宋_GB2312" w:hAnsi="宋体" w:eastAsia="仿宋_GB2312" w:cs="仿宋_GB2312"/>
                <w:i w:val="0"/>
                <w:color w:val="000000"/>
                <w:kern w:val="0"/>
                <w:sz w:val="19"/>
                <w:szCs w:val="19"/>
                <w:u w:val="none"/>
                <w:lang w:val="en-US" w:eastAsia="zh-CN" w:bidi="ar"/>
              </w:rPr>
              <w:t>相关配备情况</w:t>
            </w:r>
          </w:p>
        </w:tc>
        <w:tc>
          <w:tcPr>
            <w:tcW w:w="53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left"/>
              <w:textAlignment w:val="center"/>
              <w:rPr>
                <w:rFonts w:hint="eastAsia" w:ascii="仿宋_GB2312" w:hAnsi="宋体" w:eastAsia="仿宋_GB2312" w:cs="仿宋_GB2312"/>
                <w:i w:val="0"/>
                <w:color w:val="000000"/>
                <w:sz w:val="19"/>
                <w:szCs w:val="19"/>
                <w:u w:val="none"/>
              </w:rPr>
            </w:pPr>
            <w:r>
              <w:rPr>
                <w:rFonts w:hint="eastAsia" w:ascii="仿宋_GB2312" w:hAnsi="宋体" w:eastAsia="仿宋_GB2312" w:cs="仿宋_GB2312"/>
                <w:i w:val="0"/>
                <w:color w:val="000000"/>
                <w:kern w:val="0"/>
                <w:sz w:val="19"/>
                <w:szCs w:val="19"/>
                <w:u w:val="none"/>
                <w:lang w:val="en-US" w:eastAsia="zh-CN" w:bidi="ar"/>
              </w:rPr>
              <w:t>符合卫健等相关行政部门规定的执业条件，达到相应类别医疗机构建设基本标准</w:t>
            </w:r>
          </w:p>
        </w:tc>
        <w:tc>
          <w:tcPr>
            <w:tcW w:w="17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宋体" w:eastAsia="仿宋_GB2312" w:cs="仿宋_GB2312"/>
                <w:i w:val="0"/>
                <w:color w:val="000000"/>
                <w:sz w:val="19"/>
                <w:szCs w:val="19"/>
                <w:u w:val="none"/>
              </w:rPr>
            </w:pPr>
            <w:r>
              <w:rPr>
                <w:rFonts w:hint="eastAsia" w:ascii="仿宋_GB2312" w:hAnsi="宋体" w:eastAsia="仿宋_GB2312" w:cs="仿宋_GB2312"/>
                <w:i w:val="0"/>
                <w:color w:val="000000"/>
                <w:kern w:val="0"/>
                <w:sz w:val="19"/>
                <w:szCs w:val="19"/>
                <w:u w:val="none"/>
                <w:lang w:val="en-US" w:eastAsia="zh-CN" w:bidi="ar"/>
              </w:rPr>
              <w:t>□符合</w:t>
            </w:r>
            <w:r>
              <w:rPr>
                <w:rStyle w:val="26"/>
                <w:rFonts w:hAnsi="宋体"/>
                <w:lang w:val="en-US" w:eastAsia="zh-CN" w:bidi="ar"/>
              </w:rPr>
              <w:t xml:space="preserve"> □不符合</w:t>
            </w:r>
          </w:p>
        </w:tc>
        <w:tc>
          <w:tcPr>
            <w:tcW w:w="4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left"/>
              <w:textAlignment w:val="center"/>
              <w:rPr>
                <w:rFonts w:hint="eastAsia" w:ascii="仿宋_GB2312" w:hAnsi="宋体" w:eastAsia="仿宋_GB2312" w:cs="仿宋_GB2312"/>
                <w:i w:val="0"/>
                <w:color w:val="000000"/>
                <w:sz w:val="19"/>
                <w:szCs w:val="19"/>
                <w:u w:val="none"/>
              </w:rPr>
            </w:pPr>
            <w:r>
              <w:rPr>
                <w:rFonts w:hint="eastAsia" w:ascii="仿宋_GB2312" w:hAnsi="仿宋_GB2312" w:eastAsia="仿宋_GB2312" w:cs="仿宋_GB2312"/>
                <w:snapToGrid w:val="0"/>
                <w:color w:val="000000"/>
                <w:spacing w:val="4"/>
                <w:kern w:val="0"/>
                <w:sz w:val="19"/>
                <w:szCs w:val="19"/>
                <w:highlight w:val="none"/>
                <w:lang w:val="en-US" w:eastAsia="zh-CN" w:bidi="ar-SA"/>
              </w:rPr>
              <w:t>《卫技人员花名册》，相关人员执业、职称证书，房屋产权及使用权证明材料等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宋体" w:eastAsia="仿宋_GB2312" w:cs="仿宋_GB2312"/>
                <w:i w:val="0"/>
                <w:color w:val="000000"/>
                <w:sz w:val="19"/>
                <w:szCs w:val="19"/>
                <w:u w:val="none"/>
              </w:rPr>
            </w:pPr>
            <w:r>
              <w:rPr>
                <w:rFonts w:hint="eastAsia" w:ascii="仿宋_GB2312" w:hAnsi="宋体" w:eastAsia="仿宋_GB2312" w:cs="仿宋_GB2312"/>
                <w:i w:val="0"/>
                <w:color w:val="000000"/>
                <w:kern w:val="0"/>
                <w:sz w:val="19"/>
                <w:szCs w:val="19"/>
                <w:u w:val="none"/>
                <w:lang w:val="en-US" w:eastAsia="zh-CN" w:bidi="ar"/>
              </w:rPr>
              <w:t>3</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宋体" w:eastAsia="仿宋_GB2312" w:cs="仿宋_GB2312"/>
                <w:i w:val="0"/>
                <w:color w:val="000000"/>
                <w:sz w:val="19"/>
                <w:szCs w:val="19"/>
                <w:u w:val="none"/>
              </w:rPr>
            </w:pPr>
            <w:r>
              <w:rPr>
                <w:rFonts w:hint="eastAsia" w:ascii="仿宋_GB2312" w:hAnsi="宋体" w:eastAsia="仿宋_GB2312" w:cs="仿宋_GB2312"/>
                <w:i w:val="0"/>
                <w:color w:val="000000"/>
                <w:kern w:val="0"/>
                <w:sz w:val="19"/>
                <w:szCs w:val="19"/>
                <w:u w:val="none"/>
                <w:lang w:val="en-US" w:eastAsia="zh-CN" w:bidi="ar"/>
              </w:rPr>
              <w:t>主营业务情况</w:t>
            </w:r>
          </w:p>
        </w:tc>
        <w:tc>
          <w:tcPr>
            <w:tcW w:w="53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left"/>
              <w:textAlignment w:val="center"/>
              <w:rPr>
                <w:rFonts w:hint="eastAsia" w:ascii="仿宋_GB2312" w:hAnsi="宋体" w:eastAsia="仿宋_GB2312" w:cs="仿宋_GB2312"/>
                <w:i w:val="0"/>
                <w:color w:val="000000"/>
                <w:sz w:val="19"/>
                <w:szCs w:val="19"/>
                <w:u w:val="none"/>
              </w:rPr>
            </w:pPr>
            <w:r>
              <w:rPr>
                <w:rFonts w:hint="eastAsia" w:ascii="仿宋_GB2312" w:hAnsi="宋体" w:eastAsia="仿宋_GB2312" w:cs="仿宋_GB2312"/>
                <w:i w:val="0"/>
                <w:color w:val="000000"/>
                <w:kern w:val="0"/>
                <w:sz w:val="19"/>
                <w:szCs w:val="19"/>
                <w:u w:val="none"/>
                <w:lang w:val="en-US" w:eastAsia="zh-CN" w:bidi="ar"/>
              </w:rPr>
              <w:t>主营业务按照执业许可证开展范围等，基本医疗服务执行医疗保障行政部门制定的医药价格政策</w:t>
            </w:r>
          </w:p>
        </w:tc>
        <w:tc>
          <w:tcPr>
            <w:tcW w:w="17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宋体" w:eastAsia="仿宋_GB2312" w:cs="仿宋_GB2312"/>
                <w:i w:val="0"/>
                <w:color w:val="000000"/>
                <w:sz w:val="19"/>
                <w:szCs w:val="19"/>
                <w:u w:val="none"/>
              </w:rPr>
            </w:pPr>
            <w:r>
              <w:rPr>
                <w:rFonts w:hint="eastAsia" w:ascii="仿宋_GB2312" w:hAnsi="宋体" w:eastAsia="仿宋_GB2312" w:cs="仿宋_GB2312"/>
                <w:i w:val="0"/>
                <w:color w:val="000000"/>
                <w:kern w:val="0"/>
                <w:sz w:val="19"/>
                <w:szCs w:val="19"/>
                <w:u w:val="none"/>
                <w:lang w:val="en-US" w:eastAsia="zh-CN" w:bidi="ar"/>
              </w:rPr>
              <w:t>□符合</w:t>
            </w:r>
            <w:r>
              <w:rPr>
                <w:rStyle w:val="26"/>
                <w:rFonts w:hAnsi="宋体"/>
                <w:lang w:val="en-US" w:eastAsia="zh-CN" w:bidi="ar"/>
              </w:rPr>
              <w:t xml:space="preserve"> □不符合</w:t>
            </w:r>
          </w:p>
        </w:tc>
        <w:tc>
          <w:tcPr>
            <w:tcW w:w="4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left"/>
              <w:textAlignment w:val="center"/>
              <w:rPr>
                <w:rFonts w:hint="eastAsia" w:ascii="仿宋_GB2312" w:hAnsi="宋体" w:eastAsia="仿宋_GB2312" w:cs="仿宋_GB2312"/>
                <w:i w:val="0"/>
                <w:color w:val="000000"/>
                <w:sz w:val="19"/>
                <w:szCs w:val="19"/>
                <w:u w:val="none"/>
              </w:rPr>
            </w:pPr>
            <w:r>
              <w:rPr>
                <w:rFonts w:hint="eastAsia" w:ascii="仿宋_GB2312" w:hAnsi="仿宋_GB2312" w:eastAsia="仿宋_GB2312" w:cs="仿宋_GB2312"/>
                <w:snapToGrid w:val="0"/>
                <w:color w:val="000000"/>
                <w:spacing w:val="4"/>
                <w:kern w:val="0"/>
                <w:sz w:val="19"/>
                <w:szCs w:val="19"/>
                <w:highlight w:val="none"/>
                <w:lang w:val="en-US" w:eastAsia="zh-CN" w:bidi="ar-SA"/>
              </w:rPr>
              <w:t>各类医疗服务统计表，基本医疗服务价格标准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宋体" w:eastAsia="仿宋_GB2312" w:cs="仿宋_GB2312"/>
                <w:i w:val="0"/>
                <w:color w:val="000000"/>
                <w:sz w:val="19"/>
                <w:szCs w:val="19"/>
                <w:u w:val="none"/>
              </w:rPr>
            </w:pPr>
            <w:r>
              <w:rPr>
                <w:rFonts w:hint="eastAsia" w:ascii="仿宋_GB2312" w:hAnsi="宋体" w:eastAsia="仿宋_GB2312" w:cs="仿宋_GB2312"/>
                <w:i w:val="0"/>
                <w:color w:val="000000"/>
                <w:kern w:val="0"/>
                <w:sz w:val="19"/>
                <w:szCs w:val="19"/>
                <w:u w:val="none"/>
                <w:lang w:val="en-US" w:eastAsia="zh-CN" w:bidi="ar"/>
              </w:rPr>
              <w:t>4</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宋体" w:eastAsia="仿宋_GB2312" w:cs="仿宋_GB2312"/>
                <w:i w:val="0"/>
                <w:color w:val="000000"/>
                <w:sz w:val="19"/>
                <w:szCs w:val="19"/>
                <w:u w:val="none"/>
              </w:rPr>
            </w:pPr>
            <w:r>
              <w:rPr>
                <w:rFonts w:hint="eastAsia" w:ascii="仿宋_GB2312" w:hAnsi="宋体" w:eastAsia="仿宋_GB2312" w:cs="仿宋_GB2312"/>
                <w:i w:val="0"/>
                <w:color w:val="000000"/>
                <w:kern w:val="0"/>
                <w:sz w:val="19"/>
                <w:szCs w:val="19"/>
                <w:u w:val="none"/>
                <w:lang w:val="en-US" w:eastAsia="zh-CN" w:bidi="ar"/>
              </w:rPr>
              <w:t>财务制度管理</w:t>
            </w:r>
          </w:p>
        </w:tc>
        <w:tc>
          <w:tcPr>
            <w:tcW w:w="53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left"/>
              <w:textAlignment w:val="center"/>
              <w:rPr>
                <w:rFonts w:hint="eastAsia" w:ascii="仿宋_GB2312" w:hAnsi="宋体" w:eastAsia="仿宋_GB2312" w:cs="仿宋_GB2312"/>
                <w:i w:val="0"/>
                <w:color w:val="000000"/>
                <w:sz w:val="19"/>
                <w:szCs w:val="19"/>
                <w:u w:val="none"/>
              </w:rPr>
            </w:pPr>
            <w:r>
              <w:rPr>
                <w:rFonts w:hint="eastAsia" w:ascii="仿宋_GB2312" w:hAnsi="宋体" w:eastAsia="仿宋_GB2312" w:cs="仿宋_GB2312"/>
                <w:i w:val="0"/>
                <w:color w:val="000000"/>
                <w:kern w:val="0"/>
                <w:sz w:val="19"/>
                <w:szCs w:val="19"/>
                <w:u w:val="none"/>
                <w:lang w:val="en-US" w:eastAsia="zh-CN" w:bidi="ar"/>
              </w:rPr>
              <w:t>有完整的财务管理制度，配备专兼职财务管理人员，保存完整</w:t>
            </w:r>
            <w:r>
              <w:rPr>
                <w:rStyle w:val="26"/>
                <w:rFonts w:hAnsi="宋体"/>
                <w:lang w:val="en-US" w:eastAsia="zh-CN" w:bidi="ar"/>
              </w:rPr>
              <w:t>的会计凭证、账簿及财务报表等</w:t>
            </w:r>
          </w:p>
        </w:tc>
        <w:tc>
          <w:tcPr>
            <w:tcW w:w="17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宋体" w:eastAsia="仿宋_GB2312" w:cs="仿宋_GB2312"/>
                <w:i w:val="0"/>
                <w:color w:val="000000"/>
                <w:sz w:val="19"/>
                <w:szCs w:val="19"/>
                <w:u w:val="none"/>
              </w:rPr>
            </w:pPr>
            <w:r>
              <w:rPr>
                <w:rFonts w:hint="eastAsia" w:ascii="仿宋_GB2312" w:hAnsi="宋体" w:eastAsia="仿宋_GB2312" w:cs="仿宋_GB2312"/>
                <w:i w:val="0"/>
                <w:color w:val="000000"/>
                <w:kern w:val="0"/>
                <w:sz w:val="19"/>
                <w:szCs w:val="19"/>
                <w:u w:val="none"/>
                <w:lang w:val="en-US" w:eastAsia="zh-CN" w:bidi="ar"/>
              </w:rPr>
              <w:t>□符合</w:t>
            </w:r>
            <w:r>
              <w:rPr>
                <w:rStyle w:val="26"/>
                <w:rFonts w:hAnsi="宋体"/>
                <w:lang w:val="en-US" w:eastAsia="zh-CN" w:bidi="ar"/>
              </w:rPr>
              <w:t xml:space="preserve"> □不符合</w:t>
            </w:r>
          </w:p>
        </w:tc>
        <w:tc>
          <w:tcPr>
            <w:tcW w:w="4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left"/>
              <w:textAlignment w:val="center"/>
              <w:rPr>
                <w:rFonts w:hint="eastAsia" w:ascii="仿宋_GB2312" w:hAnsi="宋体" w:eastAsia="仿宋_GB2312" w:cs="仿宋_GB2312"/>
                <w:i w:val="0"/>
                <w:color w:val="000000"/>
                <w:sz w:val="19"/>
                <w:szCs w:val="19"/>
                <w:u w:val="none"/>
              </w:rPr>
            </w:pPr>
            <w:r>
              <w:rPr>
                <w:rFonts w:hint="eastAsia" w:ascii="仿宋_GB2312" w:hAnsi="仿宋_GB2312" w:eastAsia="仿宋_GB2312" w:cs="仿宋_GB2312"/>
                <w:snapToGrid w:val="0"/>
                <w:color w:val="000000"/>
                <w:spacing w:val="4"/>
                <w:kern w:val="0"/>
                <w:sz w:val="19"/>
                <w:szCs w:val="19"/>
                <w:highlight w:val="none"/>
                <w:lang w:val="en-US" w:eastAsia="zh-CN" w:bidi="ar-SA"/>
              </w:rPr>
              <w:t>财务管理制度、专职财务人员任职文件或聘任合同，查看会计凭证、账簿、财务报表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宋体" w:eastAsia="仿宋_GB2312" w:cs="仿宋_GB2312"/>
                <w:i w:val="0"/>
                <w:color w:val="000000"/>
                <w:sz w:val="19"/>
                <w:szCs w:val="19"/>
                <w:u w:val="none"/>
              </w:rPr>
            </w:pPr>
            <w:r>
              <w:rPr>
                <w:rFonts w:hint="eastAsia" w:ascii="仿宋_GB2312" w:hAnsi="宋体" w:eastAsia="仿宋_GB2312" w:cs="仿宋_GB2312"/>
                <w:i w:val="0"/>
                <w:color w:val="000000"/>
                <w:kern w:val="0"/>
                <w:sz w:val="19"/>
                <w:szCs w:val="19"/>
                <w:u w:val="none"/>
                <w:lang w:val="en-US" w:eastAsia="zh-CN" w:bidi="ar"/>
              </w:rPr>
              <w:t>5</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宋体" w:eastAsia="仿宋_GB2312" w:cs="仿宋_GB2312"/>
                <w:i w:val="0"/>
                <w:color w:val="000000"/>
                <w:sz w:val="19"/>
                <w:szCs w:val="19"/>
                <w:u w:val="none"/>
              </w:rPr>
            </w:pPr>
            <w:r>
              <w:rPr>
                <w:rFonts w:hint="eastAsia" w:ascii="仿宋_GB2312" w:hAnsi="宋体" w:eastAsia="仿宋_GB2312" w:cs="仿宋_GB2312"/>
                <w:i w:val="0"/>
                <w:color w:val="000000"/>
                <w:kern w:val="0"/>
                <w:sz w:val="19"/>
                <w:szCs w:val="19"/>
                <w:u w:val="none"/>
                <w:lang w:val="en-US" w:eastAsia="zh-CN" w:bidi="ar"/>
              </w:rPr>
              <w:t>信息化系统配备情况</w:t>
            </w:r>
          </w:p>
        </w:tc>
        <w:tc>
          <w:tcPr>
            <w:tcW w:w="53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90" w:lineRule="exact"/>
              <w:jc w:val="left"/>
              <w:rPr>
                <w:rFonts w:hint="eastAsia" w:ascii="仿宋_GB2312" w:hAnsi="宋体" w:eastAsia="仿宋_GB2312" w:cs="仿宋_GB2312"/>
                <w:i w:val="0"/>
                <w:color w:val="000000"/>
                <w:sz w:val="19"/>
                <w:szCs w:val="19"/>
                <w:u w:val="none"/>
              </w:rPr>
            </w:pPr>
            <w:r>
              <w:rPr>
                <w:rFonts w:hint="eastAsia" w:ascii="仿宋_GB2312" w:hAnsi="宋体" w:eastAsia="仿宋_GB2312" w:cs="仿宋_GB2312"/>
                <w:i w:val="0"/>
                <w:color w:val="000000"/>
                <w:sz w:val="19"/>
                <w:szCs w:val="19"/>
                <w:u w:val="none"/>
              </w:rPr>
              <w:t>配备完善的药品、医用材料等“进销存 ”管理系统。配备符合医疗保险联网结算和智能监控要求的计算机管理系统。</w:t>
            </w:r>
          </w:p>
        </w:tc>
        <w:tc>
          <w:tcPr>
            <w:tcW w:w="17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宋体" w:eastAsia="仿宋_GB2312" w:cs="仿宋_GB2312"/>
                <w:i w:val="0"/>
                <w:color w:val="000000"/>
                <w:sz w:val="19"/>
                <w:szCs w:val="19"/>
                <w:u w:val="none"/>
              </w:rPr>
            </w:pPr>
            <w:r>
              <w:rPr>
                <w:rFonts w:hint="eastAsia" w:ascii="仿宋_GB2312" w:hAnsi="宋体" w:eastAsia="仿宋_GB2312" w:cs="仿宋_GB2312"/>
                <w:i w:val="0"/>
                <w:color w:val="000000"/>
                <w:kern w:val="0"/>
                <w:sz w:val="19"/>
                <w:szCs w:val="19"/>
                <w:u w:val="none"/>
                <w:lang w:val="en-US" w:eastAsia="zh-CN" w:bidi="ar"/>
              </w:rPr>
              <w:t>□符合</w:t>
            </w:r>
            <w:r>
              <w:rPr>
                <w:rStyle w:val="26"/>
                <w:rFonts w:hAnsi="宋体"/>
                <w:lang w:val="en-US" w:eastAsia="zh-CN" w:bidi="ar"/>
              </w:rPr>
              <w:t xml:space="preserve"> □不符合</w:t>
            </w:r>
          </w:p>
        </w:tc>
        <w:tc>
          <w:tcPr>
            <w:tcW w:w="4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left"/>
              <w:textAlignment w:val="center"/>
              <w:rPr>
                <w:rFonts w:hint="eastAsia" w:ascii="仿宋_GB2312" w:hAnsi="宋体" w:eastAsia="仿宋_GB2312" w:cs="仿宋_GB2312"/>
                <w:i w:val="0"/>
                <w:color w:val="000000"/>
                <w:sz w:val="19"/>
                <w:szCs w:val="19"/>
                <w:u w:val="none"/>
              </w:rPr>
            </w:pPr>
            <w:r>
              <w:rPr>
                <w:rFonts w:hint="eastAsia" w:ascii="仿宋_GB2312" w:hAnsi="仿宋_GB2312" w:eastAsia="仿宋_GB2312" w:cs="仿宋_GB2312"/>
                <w:snapToGrid w:val="0"/>
                <w:color w:val="000000"/>
                <w:spacing w:val="4"/>
                <w:kern w:val="0"/>
                <w:sz w:val="19"/>
                <w:szCs w:val="19"/>
                <w:highlight w:val="none"/>
                <w:lang w:val="en-US" w:eastAsia="zh-CN" w:bidi="ar-SA"/>
              </w:rPr>
              <w:t>提供系统界面截图，其中、药品耗材查询、购进（配送）、使用、存量等环节截图不少于5张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3" w:hRule="atLeast"/>
          <w:jc w:val="center"/>
        </w:trPr>
        <w:tc>
          <w:tcPr>
            <w:tcW w:w="26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90" w:lineRule="exact"/>
              <w:jc w:val="center"/>
              <w:rPr>
                <w:rFonts w:hint="default" w:ascii="Arial" w:hAnsi="Arial" w:eastAsia="宋体" w:cs="Arial"/>
                <w:i w:val="0"/>
                <w:color w:val="000000"/>
                <w:sz w:val="21"/>
                <w:szCs w:val="21"/>
                <w:u w:val="none"/>
              </w:rPr>
            </w:pPr>
          </w:p>
        </w:tc>
        <w:tc>
          <w:tcPr>
            <w:tcW w:w="1154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黑体" w:hAnsi="宋体" w:eastAsia="黑体" w:cs="黑体"/>
                <w:i w:val="0"/>
                <w:color w:val="000000"/>
                <w:sz w:val="28"/>
                <w:szCs w:val="28"/>
                <w:u w:val="none"/>
              </w:rPr>
            </w:pPr>
            <w:r>
              <w:rPr>
                <w:rFonts w:hint="eastAsia" w:ascii="黑体" w:hAnsi="宋体" w:eastAsia="黑体" w:cs="黑体"/>
                <w:i w:val="0"/>
                <w:color w:val="000000"/>
                <w:kern w:val="0"/>
                <w:sz w:val="28"/>
                <w:szCs w:val="28"/>
                <w:u w:val="none"/>
                <w:lang w:val="en-US" w:eastAsia="zh-CN" w:bidi="ar"/>
              </w:rPr>
              <w:t>评</w:t>
            </w:r>
            <w:r>
              <w:rPr>
                <w:rStyle w:val="23"/>
                <w:lang w:val="en-US" w:eastAsia="zh-CN" w:bidi="ar"/>
              </w:rPr>
              <w:t xml:space="preserve"> 分 项 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5"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宋体" w:hAnsi="宋体" w:eastAsia="宋体" w:cs="宋体"/>
                <w:b/>
                <w:i w:val="0"/>
                <w:color w:val="000000"/>
                <w:sz w:val="19"/>
                <w:szCs w:val="19"/>
                <w:u w:val="none"/>
              </w:rPr>
            </w:pPr>
            <w:r>
              <w:rPr>
                <w:rFonts w:hint="eastAsia" w:ascii="宋体" w:hAnsi="宋体" w:eastAsia="宋体" w:cs="宋体"/>
                <w:b/>
                <w:i w:val="0"/>
                <w:color w:val="000000"/>
                <w:kern w:val="0"/>
                <w:sz w:val="19"/>
                <w:szCs w:val="19"/>
                <w:u w:val="none"/>
                <w:lang w:val="en-US" w:eastAsia="zh-CN" w:bidi="ar"/>
              </w:rPr>
              <w:t>序号</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宋体" w:hAnsi="宋体" w:eastAsia="宋体" w:cs="宋体"/>
                <w:b/>
                <w:i w:val="0"/>
                <w:color w:val="000000"/>
                <w:sz w:val="19"/>
                <w:szCs w:val="19"/>
                <w:u w:val="none"/>
              </w:rPr>
            </w:pPr>
            <w:r>
              <w:rPr>
                <w:rFonts w:hint="eastAsia" w:ascii="宋体" w:hAnsi="宋体" w:eastAsia="宋体" w:cs="宋体"/>
                <w:b/>
                <w:i w:val="0"/>
                <w:color w:val="000000"/>
                <w:kern w:val="0"/>
                <w:sz w:val="19"/>
                <w:szCs w:val="19"/>
                <w:u w:val="none"/>
                <w:lang w:val="en-US" w:eastAsia="zh-CN" w:bidi="ar"/>
              </w:rPr>
              <w:t>评分项目</w:t>
            </w:r>
          </w:p>
        </w:tc>
        <w:tc>
          <w:tcPr>
            <w:tcW w:w="53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宋体" w:hAnsi="宋体" w:eastAsia="宋体" w:cs="宋体"/>
                <w:b/>
                <w:i w:val="0"/>
                <w:color w:val="000000"/>
                <w:sz w:val="19"/>
                <w:szCs w:val="19"/>
                <w:u w:val="none"/>
              </w:rPr>
            </w:pPr>
            <w:r>
              <w:rPr>
                <w:rFonts w:hint="eastAsia" w:ascii="宋体" w:hAnsi="宋体" w:eastAsia="宋体" w:cs="宋体"/>
                <w:b/>
                <w:i w:val="0"/>
                <w:color w:val="000000"/>
                <w:kern w:val="0"/>
                <w:sz w:val="19"/>
                <w:szCs w:val="19"/>
                <w:u w:val="none"/>
                <w:lang w:val="en-US" w:eastAsia="zh-CN" w:bidi="ar"/>
              </w:rPr>
              <w:t>评分标准</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宋体" w:hAnsi="宋体" w:eastAsia="宋体" w:cs="宋体"/>
                <w:b/>
                <w:i w:val="0"/>
                <w:color w:val="000000"/>
                <w:sz w:val="19"/>
                <w:szCs w:val="19"/>
                <w:u w:val="none"/>
              </w:rPr>
            </w:pPr>
            <w:r>
              <w:rPr>
                <w:rFonts w:hint="eastAsia" w:ascii="宋体" w:hAnsi="宋体" w:eastAsia="宋体" w:cs="宋体"/>
                <w:b/>
                <w:i w:val="0"/>
                <w:color w:val="000000"/>
                <w:kern w:val="0"/>
                <w:sz w:val="19"/>
                <w:szCs w:val="19"/>
                <w:u w:val="none"/>
                <w:lang w:val="en-US" w:eastAsia="zh-CN" w:bidi="ar"/>
              </w:rPr>
              <w:t>分值</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宋体" w:hAnsi="宋体" w:eastAsia="宋体" w:cs="宋体"/>
                <w:b/>
                <w:i w:val="0"/>
                <w:color w:val="000000"/>
                <w:sz w:val="19"/>
                <w:szCs w:val="19"/>
                <w:u w:val="none"/>
              </w:rPr>
            </w:pPr>
            <w:r>
              <w:rPr>
                <w:rFonts w:hint="eastAsia" w:ascii="宋体" w:hAnsi="宋体" w:eastAsia="宋体" w:cs="宋体"/>
                <w:b/>
                <w:i w:val="0"/>
                <w:color w:val="000000"/>
                <w:kern w:val="0"/>
                <w:sz w:val="19"/>
                <w:szCs w:val="19"/>
                <w:u w:val="none"/>
                <w:lang w:val="en-US" w:eastAsia="zh-CN" w:bidi="ar"/>
              </w:rPr>
              <w:t>得分</w:t>
            </w:r>
          </w:p>
        </w:tc>
        <w:tc>
          <w:tcPr>
            <w:tcW w:w="4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宋体" w:hAnsi="宋体" w:eastAsia="宋体" w:cs="宋体"/>
                <w:b/>
                <w:i w:val="0"/>
                <w:color w:val="000000"/>
                <w:sz w:val="19"/>
                <w:szCs w:val="19"/>
                <w:u w:val="none"/>
              </w:rPr>
            </w:pPr>
            <w:r>
              <w:rPr>
                <w:rFonts w:hint="eastAsia" w:ascii="宋体" w:hAnsi="宋体" w:eastAsia="宋体" w:cs="宋体"/>
                <w:b/>
                <w:i w:val="0"/>
                <w:color w:val="000000"/>
                <w:kern w:val="0"/>
                <w:sz w:val="19"/>
                <w:szCs w:val="19"/>
                <w:u w:val="none"/>
                <w:lang w:val="en-US" w:eastAsia="zh-CN" w:bidi="ar"/>
              </w:rPr>
              <w:t>需提交相关证明材料及考核办法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5"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宋体" w:eastAsia="仿宋_GB2312" w:cs="仿宋_GB2312"/>
                <w:i w:val="0"/>
                <w:color w:val="000000"/>
                <w:sz w:val="19"/>
                <w:szCs w:val="19"/>
                <w:u w:val="none"/>
              </w:rPr>
            </w:pPr>
            <w:r>
              <w:rPr>
                <w:rFonts w:hint="eastAsia" w:ascii="仿宋_GB2312" w:hAnsi="宋体" w:eastAsia="仿宋_GB2312" w:cs="仿宋_GB2312"/>
                <w:i w:val="0"/>
                <w:color w:val="000000"/>
                <w:kern w:val="0"/>
                <w:sz w:val="19"/>
                <w:szCs w:val="19"/>
                <w:u w:val="none"/>
                <w:lang w:val="en-US" w:eastAsia="zh-CN" w:bidi="ar"/>
              </w:rPr>
              <w:t>1</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宋体" w:eastAsia="仿宋_GB2312" w:cs="仿宋_GB2312"/>
                <w:i w:val="0"/>
                <w:color w:val="000000"/>
                <w:sz w:val="19"/>
                <w:szCs w:val="19"/>
                <w:u w:val="none"/>
              </w:rPr>
            </w:pPr>
            <w:r>
              <w:rPr>
                <w:rFonts w:hint="eastAsia" w:ascii="仿宋_GB2312" w:hAnsi="宋体" w:eastAsia="仿宋_GB2312" w:cs="仿宋_GB2312"/>
                <w:i w:val="0"/>
                <w:color w:val="000000"/>
                <w:kern w:val="0"/>
                <w:sz w:val="19"/>
                <w:szCs w:val="19"/>
                <w:u w:val="none"/>
                <w:lang w:val="en-US" w:eastAsia="zh-CN" w:bidi="ar"/>
              </w:rPr>
              <w:t>医疗保障等制度管理</w:t>
            </w:r>
          </w:p>
        </w:tc>
        <w:tc>
          <w:tcPr>
            <w:tcW w:w="53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left"/>
              <w:textAlignment w:val="center"/>
              <w:rPr>
                <w:rFonts w:hint="eastAsia" w:ascii="仿宋_GB2312" w:hAnsi="宋体" w:eastAsia="仿宋_GB2312" w:cs="仿宋_GB2312"/>
                <w:i w:val="0"/>
                <w:color w:val="000000"/>
                <w:sz w:val="19"/>
                <w:szCs w:val="19"/>
                <w:u w:val="none"/>
              </w:rPr>
            </w:pPr>
            <w:r>
              <w:rPr>
                <w:rFonts w:hint="eastAsia" w:ascii="仿宋_GB2312" w:hAnsi="仿宋_GB2312" w:eastAsia="仿宋_GB2312" w:cs="仿宋_GB2312"/>
                <w:snapToGrid w:val="0"/>
                <w:color w:val="000000"/>
                <w:spacing w:val="4"/>
                <w:kern w:val="0"/>
                <w:sz w:val="19"/>
                <w:szCs w:val="19"/>
                <w:highlight w:val="none"/>
                <w:lang w:val="en-US" w:eastAsia="zh-CN" w:bidi="ar-SA"/>
              </w:rPr>
              <w:t>有健全完善且与基本医疗保险制度相适应的内部管理制度得6分，主要负责人负责医保工作得5分，设立医保办公室得2分，配备专职医疗保险管理人员得2分</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宋体" w:eastAsia="仿宋_GB2312" w:cs="仿宋_GB2312"/>
                <w:i w:val="0"/>
                <w:color w:val="000000"/>
                <w:sz w:val="19"/>
                <w:szCs w:val="19"/>
                <w:u w:val="none"/>
              </w:rPr>
            </w:pPr>
            <w:r>
              <w:rPr>
                <w:rFonts w:hint="eastAsia" w:ascii="仿宋_GB2312" w:hAnsi="宋体" w:eastAsia="仿宋_GB2312" w:cs="仿宋_GB2312"/>
                <w:i w:val="0"/>
                <w:color w:val="000000"/>
                <w:kern w:val="0"/>
                <w:sz w:val="19"/>
                <w:szCs w:val="19"/>
                <w:u w:val="none"/>
                <w:lang w:val="en-US" w:eastAsia="zh-CN" w:bidi="ar"/>
              </w:rPr>
              <w:t>15</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90" w:lineRule="exact"/>
              <w:jc w:val="center"/>
              <w:rPr>
                <w:rFonts w:hint="eastAsia" w:ascii="仿宋_GB2312" w:hAnsi="宋体" w:eastAsia="仿宋_GB2312" w:cs="仿宋_GB2312"/>
                <w:i w:val="0"/>
                <w:color w:val="000000"/>
                <w:sz w:val="21"/>
                <w:szCs w:val="21"/>
                <w:u w:val="none"/>
              </w:rPr>
            </w:pPr>
          </w:p>
        </w:tc>
        <w:tc>
          <w:tcPr>
            <w:tcW w:w="4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宋体" w:eastAsia="仿宋_GB2312" w:cs="仿宋_GB2312"/>
                <w:i w:val="0"/>
                <w:color w:val="000000"/>
                <w:sz w:val="19"/>
                <w:szCs w:val="19"/>
                <w:u w:val="none"/>
              </w:rPr>
            </w:pPr>
            <w:r>
              <w:rPr>
                <w:rFonts w:hint="eastAsia" w:ascii="仿宋_GB2312" w:hAnsi="仿宋_GB2312" w:eastAsia="仿宋_GB2312" w:cs="仿宋_GB2312"/>
                <w:snapToGrid w:val="0"/>
                <w:color w:val="000000"/>
                <w:spacing w:val="4"/>
                <w:kern w:val="0"/>
                <w:sz w:val="19"/>
                <w:szCs w:val="19"/>
                <w:highlight w:val="none"/>
                <w:lang w:val="en-US" w:eastAsia="zh-CN" w:bidi="ar-SA"/>
              </w:rPr>
              <w:t>主要负责人分管文件、内部科室设置文件、专职医疗保险管理人员任职文件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宋体" w:eastAsia="仿宋_GB2312" w:cs="仿宋_GB2312"/>
                <w:i w:val="0"/>
                <w:color w:val="000000"/>
                <w:sz w:val="19"/>
                <w:szCs w:val="19"/>
                <w:u w:val="none"/>
              </w:rPr>
            </w:pPr>
            <w:r>
              <w:rPr>
                <w:rFonts w:hint="eastAsia" w:ascii="仿宋_GB2312" w:hAnsi="宋体" w:eastAsia="仿宋_GB2312" w:cs="仿宋_GB2312"/>
                <w:i w:val="0"/>
                <w:color w:val="000000"/>
                <w:kern w:val="0"/>
                <w:sz w:val="19"/>
                <w:szCs w:val="19"/>
                <w:u w:val="none"/>
                <w:lang w:val="en-US" w:eastAsia="zh-CN" w:bidi="ar"/>
              </w:rPr>
              <w:t>2</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宋体" w:eastAsia="仿宋_GB2312" w:cs="仿宋_GB2312"/>
                <w:i w:val="0"/>
                <w:color w:val="000000"/>
                <w:sz w:val="19"/>
                <w:szCs w:val="19"/>
                <w:u w:val="none"/>
              </w:rPr>
            </w:pPr>
            <w:r>
              <w:rPr>
                <w:rFonts w:hint="eastAsia" w:ascii="仿宋_GB2312" w:hAnsi="宋体" w:eastAsia="仿宋_GB2312" w:cs="仿宋_GB2312"/>
                <w:i w:val="0"/>
                <w:color w:val="000000"/>
                <w:kern w:val="0"/>
                <w:sz w:val="19"/>
                <w:szCs w:val="19"/>
                <w:u w:val="none"/>
                <w:lang w:val="en-US" w:eastAsia="zh-CN" w:bidi="ar"/>
              </w:rPr>
              <w:t>核定床位数量</w:t>
            </w:r>
          </w:p>
        </w:tc>
        <w:tc>
          <w:tcPr>
            <w:tcW w:w="53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left"/>
              <w:textAlignment w:val="center"/>
              <w:rPr>
                <w:rFonts w:hint="eastAsia" w:ascii="仿宋_GB2312" w:hAnsi="宋体" w:eastAsia="仿宋_GB2312" w:cs="仿宋_GB2312"/>
                <w:i w:val="0"/>
                <w:color w:val="000000"/>
                <w:sz w:val="19"/>
                <w:szCs w:val="19"/>
                <w:u w:val="none"/>
              </w:rPr>
            </w:pPr>
            <w:r>
              <w:rPr>
                <w:rFonts w:hint="eastAsia" w:ascii="仿宋_GB2312" w:hAnsi="仿宋_GB2312" w:eastAsia="仿宋_GB2312" w:cs="仿宋_GB2312"/>
                <w:snapToGrid w:val="0"/>
                <w:color w:val="000000"/>
                <w:spacing w:val="4"/>
                <w:kern w:val="0"/>
                <w:sz w:val="19"/>
                <w:szCs w:val="19"/>
                <w:highlight w:val="none"/>
                <w:lang w:val="en-US" w:eastAsia="zh-CN" w:bidi="ar-SA"/>
              </w:rPr>
              <w:t>达到相应类别医疗机构标准配备床位数得5分</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宋体" w:eastAsia="仿宋_GB2312" w:cs="仿宋_GB2312"/>
                <w:i w:val="0"/>
                <w:color w:val="000000"/>
                <w:sz w:val="19"/>
                <w:szCs w:val="19"/>
                <w:u w:val="none"/>
              </w:rPr>
            </w:pPr>
            <w:r>
              <w:rPr>
                <w:rFonts w:hint="eastAsia" w:ascii="仿宋_GB2312" w:hAnsi="宋体" w:eastAsia="仿宋_GB2312" w:cs="仿宋_GB2312"/>
                <w:i w:val="0"/>
                <w:color w:val="000000"/>
                <w:kern w:val="0"/>
                <w:sz w:val="19"/>
                <w:szCs w:val="19"/>
                <w:u w:val="none"/>
                <w:lang w:val="en-US" w:eastAsia="zh-CN" w:bidi="ar"/>
              </w:rPr>
              <w:t>5</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90" w:lineRule="exact"/>
              <w:jc w:val="center"/>
              <w:rPr>
                <w:rFonts w:hint="eastAsia" w:ascii="仿宋_GB2312" w:hAnsi="宋体" w:eastAsia="仿宋_GB2312" w:cs="仿宋_GB2312"/>
                <w:i w:val="0"/>
                <w:color w:val="000000"/>
                <w:sz w:val="21"/>
                <w:szCs w:val="21"/>
                <w:u w:val="none"/>
              </w:rPr>
            </w:pPr>
          </w:p>
        </w:tc>
        <w:tc>
          <w:tcPr>
            <w:tcW w:w="4491"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kinsoku/>
              <w:wordWrap/>
              <w:overflowPunct/>
              <w:topLinePunct w:val="0"/>
              <w:autoSpaceDE/>
              <w:autoSpaceDN/>
              <w:bidi w:val="0"/>
              <w:adjustRightInd/>
              <w:snapToGrid/>
              <w:spacing w:line="590" w:lineRule="exact"/>
              <w:jc w:val="both"/>
              <w:rPr>
                <w:rFonts w:hint="eastAsia" w:ascii="仿宋_GB2312" w:hAnsi="宋体" w:eastAsia="仿宋_GB2312" w:cs="仿宋_GB2312"/>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5"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宋体" w:eastAsia="仿宋_GB2312" w:cs="仿宋_GB2312"/>
                <w:i w:val="0"/>
                <w:color w:val="000000"/>
                <w:sz w:val="19"/>
                <w:szCs w:val="19"/>
                <w:u w:val="none"/>
              </w:rPr>
            </w:pPr>
            <w:r>
              <w:rPr>
                <w:rFonts w:hint="eastAsia" w:ascii="仿宋_GB2312" w:hAnsi="宋体" w:eastAsia="仿宋_GB2312" w:cs="仿宋_GB2312"/>
                <w:i w:val="0"/>
                <w:color w:val="000000"/>
                <w:kern w:val="0"/>
                <w:sz w:val="19"/>
                <w:szCs w:val="19"/>
                <w:u w:val="none"/>
                <w:lang w:val="en-US" w:eastAsia="zh-CN" w:bidi="ar"/>
              </w:rPr>
              <w:t>3</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宋体" w:eastAsia="仿宋_GB2312" w:cs="仿宋_GB2312"/>
                <w:i w:val="0"/>
                <w:color w:val="000000"/>
                <w:sz w:val="19"/>
                <w:szCs w:val="19"/>
                <w:u w:val="none"/>
              </w:rPr>
            </w:pPr>
            <w:r>
              <w:rPr>
                <w:rFonts w:hint="eastAsia" w:ascii="仿宋_GB2312" w:hAnsi="宋体" w:eastAsia="仿宋_GB2312" w:cs="仿宋_GB2312"/>
                <w:i w:val="0"/>
                <w:color w:val="000000"/>
                <w:kern w:val="0"/>
                <w:sz w:val="19"/>
                <w:szCs w:val="19"/>
                <w:u w:val="none"/>
                <w:lang w:val="en-US" w:eastAsia="zh-CN" w:bidi="ar"/>
              </w:rPr>
              <w:t>第一执业地点注册于该</w:t>
            </w:r>
            <w:r>
              <w:rPr>
                <w:rStyle w:val="26"/>
                <w:rFonts w:hAnsi="宋体"/>
                <w:lang w:val="en-US" w:eastAsia="zh-CN" w:bidi="ar"/>
              </w:rPr>
              <w:t>医疗机构的医师数量</w:t>
            </w:r>
          </w:p>
        </w:tc>
        <w:tc>
          <w:tcPr>
            <w:tcW w:w="53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left"/>
              <w:textAlignment w:val="center"/>
              <w:rPr>
                <w:rFonts w:hint="eastAsia" w:ascii="仿宋_GB2312" w:hAnsi="宋体" w:eastAsia="仿宋_GB2312" w:cs="仿宋_GB2312"/>
                <w:i w:val="0"/>
                <w:color w:val="000000"/>
                <w:sz w:val="19"/>
                <w:szCs w:val="19"/>
                <w:u w:val="none"/>
              </w:rPr>
            </w:pPr>
            <w:r>
              <w:rPr>
                <w:rFonts w:hint="eastAsia" w:ascii="仿宋_GB2312" w:hAnsi="仿宋_GB2312" w:eastAsia="仿宋_GB2312" w:cs="仿宋_GB2312"/>
                <w:snapToGrid w:val="0"/>
                <w:color w:val="000000"/>
                <w:spacing w:val="4"/>
                <w:kern w:val="0"/>
                <w:sz w:val="19"/>
                <w:szCs w:val="19"/>
                <w:highlight w:val="none"/>
                <w:lang w:val="en-US" w:eastAsia="zh-CN" w:bidi="ar-SA"/>
              </w:rPr>
              <w:t>达到相应类别医疗机构标准医师配备数量得6分，每增加1名高级职称加1分，中级职称加0.5分，最高得10分</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宋体" w:eastAsia="仿宋_GB2312" w:cs="仿宋_GB2312"/>
                <w:i w:val="0"/>
                <w:color w:val="000000"/>
                <w:sz w:val="19"/>
                <w:szCs w:val="19"/>
                <w:u w:val="none"/>
              </w:rPr>
            </w:pPr>
            <w:r>
              <w:rPr>
                <w:rFonts w:hint="eastAsia" w:ascii="仿宋_GB2312" w:hAnsi="宋体" w:eastAsia="仿宋_GB2312" w:cs="仿宋_GB2312"/>
                <w:i w:val="0"/>
                <w:color w:val="000000"/>
                <w:kern w:val="0"/>
                <w:sz w:val="19"/>
                <w:szCs w:val="19"/>
                <w:u w:val="none"/>
                <w:lang w:val="en-US" w:eastAsia="zh-CN" w:bidi="ar"/>
              </w:rPr>
              <w:t>10</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90" w:lineRule="exact"/>
              <w:jc w:val="center"/>
              <w:rPr>
                <w:rFonts w:hint="eastAsia" w:ascii="仿宋_GB2312" w:hAnsi="宋体" w:eastAsia="仿宋_GB2312" w:cs="仿宋_GB2312"/>
                <w:i w:val="0"/>
                <w:color w:val="000000"/>
                <w:sz w:val="21"/>
                <w:szCs w:val="21"/>
                <w:u w:val="none"/>
              </w:rPr>
            </w:pPr>
          </w:p>
        </w:tc>
        <w:tc>
          <w:tcPr>
            <w:tcW w:w="4491"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kinsoku/>
              <w:wordWrap/>
              <w:overflowPunct/>
              <w:topLinePunct w:val="0"/>
              <w:autoSpaceDE/>
              <w:autoSpaceDN/>
              <w:bidi w:val="0"/>
              <w:adjustRightInd/>
              <w:snapToGrid/>
              <w:spacing w:line="590" w:lineRule="exact"/>
              <w:jc w:val="both"/>
              <w:rPr>
                <w:rFonts w:hint="eastAsia" w:ascii="仿宋_GB2312" w:hAnsi="宋体" w:eastAsia="仿宋_GB2312" w:cs="仿宋_GB2312"/>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4"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宋体" w:eastAsia="仿宋_GB2312" w:cs="仿宋_GB2312"/>
                <w:i w:val="0"/>
                <w:color w:val="000000"/>
                <w:sz w:val="19"/>
                <w:szCs w:val="19"/>
                <w:u w:val="none"/>
              </w:rPr>
            </w:pPr>
            <w:r>
              <w:rPr>
                <w:rFonts w:hint="eastAsia" w:ascii="仿宋_GB2312" w:hAnsi="宋体" w:eastAsia="仿宋_GB2312" w:cs="仿宋_GB2312"/>
                <w:i w:val="0"/>
                <w:color w:val="000000"/>
                <w:kern w:val="0"/>
                <w:sz w:val="19"/>
                <w:szCs w:val="19"/>
                <w:u w:val="none"/>
                <w:lang w:val="en-US" w:eastAsia="zh-CN" w:bidi="ar"/>
              </w:rPr>
              <w:t>4</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宋体" w:eastAsia="仿宋_GB2312" w:cs="仿宋_GB2312"/>
                <w:i w:val="0"/>
                <w:color w:val="000000"/>
                <w:sz w:val="19"/>
                <w:szCs w:val="19"/>
                <w:u w:val="none"/>
              </w:rPr>
            </w:pPr>
            <w:r>
              <w:rPr>
                <w:rFonts w:hint="eastAsia" w:ascii="仿宋_GB2312" w:hAnsi="宋体" w:eastAsia="仿宋_GB2312" w:cs="仿宋_GB2312"/>
                <w:i w:val="0"/>
                <w:color w:val="000000"/>
                <w:kern w:val="0"/>
                <w:sz w:val="19"/>
                <w:szCs w:val="19"/>
                <w:u w:val="none"/>
                <w:lang w:val="en-US" w:eastAsia="zh-CN" w:bidi="ar"/>
              </w:rPr>
              <w:t>注册执业于该医疗机构</w:t>
            </w:r>
            <w:r>
              <w:rPr>
                <w:rStyle w:val="26"/>
                <w:rFonts w:hAnsi="宋体"/>
                <w:lang w:val="en-US" w:eastAsia="zh-CN" w:bidi="ar"/>
              </w:rPr>
              <w:t>的护师（士）数量</w:t>
            </w:r>
          </w:p>
        </w:tc>
        <w:tc>
          <w:tcPr>
            <w:tcW w:w="53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left"/>
              <w:textAlignment w:val="center"/>
              <w:rPr>
                <w:rFonts w:hint="eastAsia" w:ascii="仿宋_GB2312" w:hAnsi="宋体" w:eastAsia="仿宋_GB2312" w:cs="仿宋_GB2312"/>
                <w:i w:val="0"/>
                <w:color w:val="000000"/>
                <w:sz w:val="19"/>
                <w:szCs w:val="19"/>
                <w:u w:val="none"/>
              </w:rPr>
            </w:pPr>
            <w:r>
              <w:rPr>
                <w:rFonts w:hint="eastAsia" w:ascii="仿宋_GB2312" w:hAnsi="仿宋_GB2312" w:eastAsia="仿宋_GB2312" w:cs="仿宋_GB2312"/>
                <w:snapToGrid w:val="0"/>
                <w:color w:val="000000"/>
                <w:spacing w:val="4"/>
                <w:kern w:val="0"/>
                <w:sz w:val="19"/>
                <w:szCs w:val="19"/>
                <w:highlight w:val="none"/>
                <w:lang w:val="en-US" w:eastAsia="zh-CN" w:bidi="ar-SA"/>
              </w:rPr>
              <w:t>达到相应类别医疗机构标准护师（士）配备数量得6分，每增加1名高级职称加1分，中级职称加0.5分，最高得10分</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宋体" w:eastAsia="仿宋_GB2312" w:cs="仿宋_GB2312"/>
                <w:i w:val="0"/>
                <w:color w:val="000000"/>
                <w:sz w:val="19"/>
                <w:szCs w:val="19"/>
                <w:u w:val="none"/>
              </w:rPr>
            </w:pPr>
            <w:r>
              <w:rPr>
                <w:rFonts w:hint="eastAsia" w:ascii="仿宋_GB2312" w:hAnsi="宋体" w:eastAsia="仿宋_GB2312" w:cs="仿宋_GB2312"/>
                <w:i w:val="0"/>
                <w:color w:val="000000"/>
                <w:kern w:val="0"/>
                <w:sz w:val="19"/>
                <w:szCs w:val="19"/>
                <w:u w:val="none"/>
                <w:lang w:val="en-US" w:eastAsia="zh-CN" w:bidi="ar"/>
              </w:rPr>
              <w:t>10</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90" w:lineRule="exact"/>
              <w:jc w:val="center"/>
              <w:rPr>
                <w:rFonts w:hint="eastAsia" w:ascii="仿宋_GB2312" w:hAnsi="宋体" w:eastAsia="仿宋_GB2312" w:cs="仿宋_GB2312"/>
                <w:i w:val="0"/>
                <w:color w:val="000000"/>
                <w:sz w:val="21"/>
                <w:szCs w:val="21"/>
                <w:u w:val="none"/>
              </w:rPr>
            </w:pPr>
          </w:p>
        </w:tc>
        <w:tc>
          <w:tcPr>
            <w:tcW w:w="4491"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pageBreakBefore w:val="0"/>
              <w:kinsoku/>
              <w:wordWrap/>
              <w:overflowPunct/>
              <w:topLinePunct w:val="0"/>
              <w:autoSpaceDE/>
              <w:autoSpaceDN/>
              <w:bidi w:val="0"/>
              <w:adjustRightInd/>
              <w:snapToGrid/>
              <w:spacing w:line="590" w:lineRule="exact"/>
              <w:jc w:val="both"/>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宋体" w:eastAsia="仿宋_GB2312" w:cs="仿宋_GB2312"/>
                <w:i w:val="0"/>
                <w:color w:val="000000"/>
                <w:sz w:val="19"/>
                <w:szCs w:val="19"/>
                <w:u w:val="none"/>
              </w:rPr>
            </w:pPr>
            <w:r>
              <w:rPr>
                <w:rFonts w:hint="eastAsia" w:ascii="仿宋_GB2312" w:hAnsi="宋体" w:eastAsia="仿宋_GB2312" w:cs="仿宋_GB2312"/>
                <w:i w:val="0"/>
                <w:color w:val="000000"/>
                <w:kern w:val="0"/>
                <w:sz w:val="19"/>
                <w:szCs w:val="19"/>
                <w:u w:val="none"/>
                <w:lang w:val="en-US" w:eastAsia="zh-CN" w:bidi="ar"/>
              </w:rPr>
              <w:t>5</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宋体" w:eastAsia="仿宋_GB2312" w:cs="仿宋_GB2312"/>
                <w:i w:val="0"/>
                <w:color w:val="000000"/>
                <w:sz w:val="19"/>
                <w:szCs w:val="19"/>
                <w:u w:val="none"/>
              </w:rPr>
            </w:pPr>
            <w:r>
              <w:rPr>
                <w:rFonts w:hint="eastAsia" w:ascii="仿宋_GB2312" w:hAnsi="宋体" w:eastAsia="仿宋_GB2312" w:cs="仿宋_GB2312"/>
                <w:i w:val="0"/>
                <w:color w:val="000000"/>
                <w:kern w:val="0"/>
                <w:sz w:val="19"/>
                <w:szCs w:val="19"/>
                <w:u w:val="none"/>
                <w:lang w:val="en-US" w:eastAsia="zh-CN" w:bidi="ar"/>
              </w:rPr>
              <w:t>卫生技术人员、护师</w:t>
            </w:r>
            <w:r>
              <w:rPr>
                <w:rStyle w:val="26"/>
                <w:rFonts w:hAnsi="宋体"/>
                <w:lang w:val="en-US" w:eastAsia="zh-CN" w:bidi="ar"/>
              </w:rPr>
              <w:t>（士）与床位配备比</w:t>
            </w:r>
          </w:p>
        </w:tc>
        <w:tc>
          <w:tcPr>
            <w:tcW w:w="53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left"/>
              <w:textAlignment w:val="center"/>
              <w:rPr>
                <w:rFonts w:hint="eastAsia" w:ascii="仿宋_GB2312" w:hAnsi="宋体" w:eastAsia="仿宋_GB2312" w:cs="仿宋_GB2312"/>
                <w:i w:val="0"/>
                <w:color w:val="000000"/>
                <w:sz w:val="19"/>
                <w:szCs w:val="19"/>
                <w:u w:val="none"/>
              </w:rPr>
            </w:pPr>
            <w:r>
              <w:rPr>
                <w:rFonts w:hint="eastAsia" w:ascii="仿宋_GB2312" w:hAnsi="仿宋_GB2312" w:eastAsia="仿宋_GB2312" w:cs="仿宋_GB2312"/>
                <w:snapToGrid w:val="0"/>
                <w:color w:val="000000"/>
                <w:spacing w:val="4"/>
                <w:kern w:val="0"/>
                <w:sz w:val="19"/>
                <w:szCs w:val="19"/>
                <w:highlight w:val="none"/>
                <w:lang w:val="en-US" w:eastAsia="zh-CN" w:bidi="ar-SA"/>
              </w:rPr>
              <w:t>达到相应类别医疗机构标准医师、护师（士）与床位配比得8分，配比每增加0.1加1分，最高10分</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宋体" w:eastAsia="仿宋_GB2312" w:cs="仿宋_GB2312"/>
                <w:i w:val="0"/>
                <w:color w:val="000000"/>
                <w:sz w:val="19"/>
                <w:szCs w:val="19"/>
                <w:u w:val="none"/>
              </w:rPr>
            </w:pPr>
            <w:r>
              <w:rPr>
                <w:rFonts w:hint="eastAsia" w:ascii="仿宋_GB2312" w:hAnsi="宋体" w:eastAsia="仿宋_GB2312" w:cs="仿宋_GB2312"/>
                <w:i w:val="0"/>
                <w:color w:val="000000"/>
                <w:kern w:val="0"/>
                <w:sz w:val="19"/>
                <w:szCs w:val="19"/>
                <w:u w:val="none"/>
                <w:lang w:val="en-US" w:eastAsia="zh-CN" w:bidi="ar"/>
              </w:rPr>
              <w:t>10</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90" w:lineRule="exact"/>
              <w:jc w:val="center"/>
              <w:rPr>
                <w:rFonts w:hint="eastAsia" w:ascii="仿宋_GB2312" w:hAnsi="宋体" w:eastAsia="仿宋_GB2312" w:cs="仿宋_GB2312"/>
                <w:i w:val="0"/>
                <w:color w:val="000000"/>
                <w:sz w:val="21"/>
                <w:szCs w:val="21"/>
                <w:u w:val="none"/>
              </w:rPr>
            </w:pPr>
          </w:p>
        </w:tc>
        <w:tc>
          <w:tcPr>
            <w:tcW w:w="4491"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kinsoku/>
              <w:wordWrap/>
              <w:overflowPunct/>
              <w:topLinePunct w:val="0"/>
              <w:autoSpaceDE/>
              <w:autoSpaceDN/>
              <w:bidi w:val="0"/>
              <w:adjustRightInd/>
              <w:snapToGrid/>
              <w:spacing w:line="590" w:lineRule="exact"/>
              <w:jc w:val="left"/>
              <w:rPr>
                <w:rFonts w:hint="eastAsia" w:ascii="仿宋_GB2312" w:hAnsi="宋体" w:eastAsia="仿宋_GB2312" w:cs="仿宋_GB2312"/>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宋体" w:eastAsia="仿宋_GB2312" w:cs="仿宋_GB2312"/>
                <w:i w:val="0"/>
                <w:color w:val="000000"/>
                <w:sz w:val="19"/>
                <w:szCs w:val="19"/>
                <w:u w:val="none"/>
              </w:rPr>
            </w:pPr>
            <w:r>
              <w:rPr>
                <w:rFonts w:hint="eastAsia" w:ascii="仿宋_GB2312" w:hAnsi="宋体" w:eastAsia="仿宋_GB2312" w:cs="仿宋_GB2312"/>
                <w:i w:val="0"/>
                <w:color w:val="000000"/>
                <w:kern w:val="0"/>
                <w:sz w:val="19"/>
                <w:szCs w:val="19"/>
                <w:u w:val="none"/>
                <w:lang w:val="en-US" w:eastAsia="zh-CN" w:bidi="ar"/>
              </w:rPr>
              <w:t>6</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宋体" w:eastAsia="仿宋_GB2312" w:cs="仿宋_GB2312"/>
                <w:i w:val="0"/>
                <w:color w:val="000000"/>
                <w:sz w:val="19"/>
                <w:szCs w:val="19"/>
                <w:u w:val="none"/>
              </w:rPr>
            </w:pPr>
            <w:r>
              <w:rPr>
                <w:rFonts w:hint="eastAsia" w:ascii="仿宋_GB2312" w:hAnsi="宋体" w:eastAsia="仿宋_GB2312" w:cs="仿宋_GB2312"/>
                <w:i w:val="0"/>
                <w:color w:val="000000"/>
                <w:kern w:val="0"/>
                <w:sz w:val="19"/>
                <w:szCs w:val="19"/>
                <w:u w:val="none"/>
                <w:lang w:val="en-US" w:eastAsia="zh-CN" w:bidi="ar"/>
              </w:rPr>
              <w:t>医疗设备配置数量</w:t>
            </w:r>
          </w:p>
        </w:tc>
        <w:tc>
          <w:tcPr>
            <w:tcW w:w="53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left"/>
              <w:textAlignment w:val="center"/>
              <w:rPr>
                <w:rFonts w:hint="eastAsia" w:ascii="仿宋_GB2312" w:hAnsi="宋体" w:eastAsia="仿宋_GB2312" w:cs="仿宋_GB2312"/>
                <w:i w:val="0"/>
                <w:color w:val="000000"/>
                <w:sz w:val="19"/>
                <w:szCs w:val="19"/>
                <w:u w:val="none"/>
              </w:rPr>
            </w:pPr>
            <w:r>
              <w:rPr>
                <w:rFonts w:hint="eastAsia" w:ascii="仿宋_GB2312" w:hAnsi="仿宋_GB2312" w:eastAsia="仿宋_GB2312" w:cs="仿宋_GB2312"/>
                <w:snapToGrid w:val="0"/>
                <w:color w:val="000000"/>
                <w:spacing w:val="4"/>
                <w:kern w:val="0"/>
                <w:sz w:val="19"/>
                <w:szCs w:val="19"/>
                <w:highlight w:val="none"/>
                <w:lang w:val="en-US" w:eastAsia="zh-CN" w:bidi="ar-SA"/>
              </w:rPr>
              <w:t>达到相应类别医疗机构标准设备配置数量得3分，每增加1套万元以上设备加0.1分，最高得5分</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宋体" w:eastAsia="仿宋_GB2312" w:cs="仿宋_GB2312"/>
                <w:i w:val="0"/>
                <w:color w:val="000000"/>
                <w:sz w:val="19"/>
                <w:szCs w:val="19"/>
                <w:u w:val="none"/>
              </w:rPr>
            </w:pPr>
            <w:r>
              <w:rPr>
                <w:rFonts w:hint="eastAsia" w:ascii="仿宋_GB2312" w:hAnsi="宋体" w:eastAsia="仿宋_GB2312" w:cs="仿宋_GB2312"/>
                <w:i w:val="0"/>
                <w:color w:val="000000"/>
                <w:kern w:val="0"/>
                <w:sz w:val="19"/>
                <w:szCs w:val="19"/>
                <w:u w:val="none"/>
                <w:lang w:val="en-US" w:eastAsia="zh-CN" w:bidi="ar"/>
              </w:rPr>
              <w:t>5</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90" w:lineRule="exact"/>
              <w:jc w:val="center"/>
              <w:rPr>
                <w:rFonts w:hint="eastAsia" w:ascii="仿宋_GB2312" w:hAnsi="宋体" w:eastAsia="仿宋_GB2312" w:cs="仿宋_GB2312"/>
                <w:i w:val="0"/>
                <w:color w:val="000000"/>
                <w:sz w:val="21"/>
                <w:szCs w:val="21"/>
                <w:u w:val="none"/>
              </w:rPr>
            </w:pPr>
          </w:p>
        </w:tc>
        <w:tc>
          <w:tcPr>
            <w:tcW w:w="4491" w:type="dxa"/>
            <w:tcBorders>
              <w:top w:val="single" w:color="000000" w:sz="4" w:space="0"/>
              <w:left w:val="single" w:color="000000" w:sz="4" w:space="0"/>
              <w:bottom w:val="single" w:color="000000" w:sz="4" w:space="0"/>
              <w:right w:val="single" w:color="000000" w:sz="4" w:space="0"/>
            </w:tcBorders>
            <w:shd w:val="clear" w:color="auto" w:fill="auto"/>
            <w:vAlign w:val="top"/>
          </w:tcPr>
          <w:p>
            <w:pPr>
              <w:pStyle w:val="21"/>
              <w:keepNext w:val="0"/>
              <w:keepLines w:val="0"/>
              <w:pageBreakBefore w:val="0"/>
              <w:kinsoku/>
              <w:wordWrap/>
              <w:overflowPunct/>
              <w:topLinePunct w:val="0"/>
              <w:autoSpaceDE/>
              <w:autoSpaceDN/>
              <w:bidi w:val="0"/>
              <w:adjustRightInd/>
              <w:snapToGrid/>
              <w:spacing w:before="231" w:line="590" w:lineRule="exact"/>
              <w:ind w:left="46" w:leftChars="0"/>
              <w:jc w:val="left"/>
              <w:rPr>
                <w:rFonts w:hint="eastAsia" w:ascii="仿宋_GB2312" w:hAnsi="宋体" w:eastAsia="仿宋_GB2312" w:cs="仿宋_GB2312"/>
                <w:i w:val="0"/>
                <w:color w:val="000000"/>
                <w:sz w:val="19"/>
                <w:szCs w:val="19"/>
                <w:u w:val="none"/>
              </w:rPr>
            </w:pPr>
            <w:r>
              <w:rPr>
                <w:rFonts w:hint="eastAsia" w:ascii="仿宋_GB2312" w:hAnsi="仿宋_GB2312" w:eastAsia="仿宋_GB2312" w:cs="仿宋_GB2312"/>
                <w:spacing w:val="8"/>
                <w:sz w:val="19"/>
                <w:szCs w:val="19"/>
                <w:highlight w:val="none"/>
              </w:rPr>
              <w:t>《大型医用设备清单》，提供大型设备发票复印件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2"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宋体" w:eastAsia="仿宋_GB2312" w:cs="仿宋_GB2312"/>
                <w:i w:val="0"/>
                <w:color w:val="000000"/>
                <w:sz w:val="19"/>
                <w:szCs w:val="19"/>
                <w:u w:val="none"/>
              </w:rPr>
            </w:pPr>
            <w:r>
              <w:rPr>
                <w:rFonts w:hint="eastAsia" w:ascii="仿宋_GB2312" w:hAnsi="宋体" w:eastAsia="仿宋_GB2312" w:cs="仿宋_GB2312"/>
                <w:i w:val="0"/>
                <w:color w:val="000000"/>
                <w:kern w:val="0"/>
                <w:sz w:val="19"/>
                <w:szCs w:val="19"/>
                <w:u w:val="none"/>
                <w:lang w:val="en-US" w:eastAsia="zh-CN" w:bidi="ar"/>
              </w:rPr>
              <w:t>7</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宋体" w:eastAsia="仿宋_GB2312" w:cs="仿宋_GB2312"/>
                <w:i w:val="0"/>
                <w:color w:val="000000"/>
                <w:sz w:val="19"/>
                <w:szCs w:val="19"/>
                <w:u w:val="none"/>
              </w:rPr>
            </w:pPr>
            <w:r>
              <w:rPr>
                <w:rFonts w:hint="eastAsia" w:ascii="仿宋_GB2312" w:hAnsi="宋体" w:eastAsia="仿宋_GB2312" w:cs="仿宋_GB2312"/>
                <w:i w:val="0"/>
                <w:color w:val="000000"/>
                <w:kern w:val="0"/>
                <w:sz w:val="19"/>
                <w:szCs w:val="19"/>
                <w:u w:val="none"/>
                <w:lang w:val="en-US" w:eastAsia="zh-CN" w:bidi="ar"/>
              </w:rPr>
              <w:t>药品、耗材“进销存</w:t>
            </w:r>
            <w:r>
              <w:rPr>
                <w:rStyle w:val="27"/>
                <w:rFonts w:eastAsia="仿宋_GB2312"/>
                <w:lang w:val="en-US" w:eastAsia="zh-CN" w:bidi="ar"/>
              </w:rPr>
              <w:t xml:space="preserve"> </w:t>
            </w:r>
            <w:r>
              <w:rPr>
                <w:rStyle w:val="26"/>
                <w:rFonts w:hAnsi="宋体"/>
                <w:lang w:val="en-US" w:eastAsia="zh-CN" w:bidi="ar"/>
              </w:rPr>
              <w:t>”管理</w:t>
            </w:r>
          </w:p>
        </w:tc>
        <w:tc>
          <w:tcPr>
            <w:tcW w:w="53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left"/>
              <w:textAlignment w:val="center"/>
              <w:rPr>
                <w:rFonts w:hint="eastAsia" w:ascii="仿宋_GB2312" w:hAnsi="宋体" w:eastAsia="仿宋_GB2312" w:cs="仿宋_GB2312"/>
                <w:i w:val="0"/>
                <w:color w:val="000000"/>
                <w:sz w:val="19"/>
                <w:szCs w:val="19"/>
                <w:u w:val="none"/>
              </w:rPr>
            </w:pPr>
            <w:r>
              <w:rPr>
                <w:rFonts w:hint="eastAsia" w:ascii="仿宋_GB2312" w:hAnsi="仿宋_GB2312" w:eastAsia="仿宋_GB2312" w:cs="仿宋_GB2312"/>
                <w:snapToGrid w:val="0"/>
                <w:color w:val="000000"/>
                <w:spacing w:val="4"/>
                <w:kern w:val="0"/>
                <w:sz w:val="19"/>
                <w:szCs w:val="19"/>
                <w:highlight w:val="none"/>
                <w:lang w:val="en-US" w:eastAsia="zh-CN" w:bidi="ar-SA"/>
              </w:rPr>
              <w:t>有“进销存”台账得3分，有购进药品、耗材合法票据得3分，进销存管理清晰，票据、台账与实际库存相符得4分</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宋体" w:eastAsia="仿宋_GB2312" w:cs="仿宋_GB2312"/>
                <w:i w:val="0"/>
                <w:color w:val="000000"/>
                <w:sz w:val="19"/>
                <w:szCs w:val="19"/>
                <w:u w:val="none"/>
              </w:rPr>
            </w:pPr>
            <w:r>
              <w:rPr>
                <w:rFonts w:hint="eastAsia" w:ascii="仿宋_GB2312" w:hAnsi="宋体" w:eastAsia="仿宋_GB2312" w:cs="仿宋_GB2312"/>
                <w:i w:val="0"/>
                <w:color w:val="000000"/>
                <w:kern w:val="0"/>
                <w:sz w:val="19"/>
                <w:szCs w:val="19"/>
                <w:u w:val="none"/>
                <w:lang w:val="en-US" w:eastAsia="zh-CN" w:bidi="ar"/>
              </w:rPr>
              <w:t>10</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90" w:lineRule="exact"/>
              <w:jc w:val="center"/>
              <w:rPr>
                <w:rFonts w:hint="eastAsia" w:ascii="仿宋_GB2312" w:hAnsi="宋体" w:eastAsia="仿宋_GB2312" w:cs="仿宋_GB2312"/>
                <w:i w:val="0"/>
                <w:color w:val="000000"/>
                <w:sz w:val="21"/>
                <w:szCs w:val="21"/>
                <w:u w:val="none"/>
              </w:rPr>
            </w:pPr>
          </w:p>
        </w:tc>
        <w:tc>
          <w:tcPr>
            <w:tcW w:w="4491" w:type="dxa"/>
            <w:tcBorders>
              <w:top w:val="single" w:color="000000" w:sz="4" w:space="0"/>
              <w:left w:val="single" w:color="000000" w:sz="4" w:space="0"/>
              <w:bottom w:val="single" w:color="000000" w:sz="4" w:space="0"/>
              <w:right w:val="single" w:color="000000" w:sz="4" w:space="0"/>
            </w:tcBorders>
            <w:shd w:val="clear" w:color="auto" w:fill="auto"/>
            <w:vAlign w:val="top"/>
          </w:tcPr>
          <w:p>
            <w:pPr>
              <w:pStyle w:val="21"/>
              <w:keepNext w:val="0"/>
              <w:keepLines w:val="0"/>
              <w:pageBreakBefore w:val="0"/>
              <w:kinsoku/>
              <w:wordWrap/>
              <w:overflowPunct/>
              <w:topLinePunct w:val="0"/>
              <w:autoSpaceDE/>
              <w:autoSpaceDN/>
              <w:bidi w:val="0"/>
              <w:adjustRightInd/>
              <w:snapToGrid/>
              <w:spacing w:before="55" w:line="590" w:lineRule="exact"/>
              <w:ind w:left="31" w:leftChars="0" w:right="204" w:rightChars="0" w:firstLine="8" w:firstLineChars="0"/>
              <w:jc w:val="left"/>
              <w:rPr>
                <w:rFonts w:hint="eastAsia" w:ascii="仿宋_GB2312" w:hAnsi="宋体" w:eastAsia="仿宋_GB2312" w:cs="仿宋_GB2312"/>
                <w:i w:val="0"/>
                <w:color w:val="000000"/>
                <w:sz w:val="19"/>
                <w:szCs w:val="19"/>
                <w:u w:val="none"/>
              </w:rPr>
            </w:pPr>
            <w:r>
              <w:rPr>
                <w:rFonts w:hint="eastAsia" w:ascii="仿宋_GB2312" w:hAnsi="仿宋_GB2312" w:eastAsia="仿宋_GB2312" w:cs="仿宋_GB2312"/>
                <w:spacing w:val="8"/>
                <w:sz w:val="19"/>
                <w:szCs w:val="19"/>
                <w:highlight w:val="none"/>
              </w:rPr>
              <w:t>近半年（正式运营不满半年的，以正式运营时间为</w:t>
            </w:r>
            <w:r>
              <w:rPr>
                <w:rFonts w:hint="eastAsia" w:ascii="仿宋_GB2312" w:hAnsi="仿宋_GB2312" w:eastAsia="仿宋_GB2312" w:cs="仿宋_GB2312"/>
                <w:spacing w:val="7"/>
                <w:sz w:val="19"/>
                <w:szCs w:val="19"/>
                <w:highlight w:val="none"/>
              </w:rPr>
              <w:t>准）</w:t>
            </w:r>
            <w:r>
              <w:rPr>
                <w:rFonts w:hint="eastAsia" w:ascii="仿宋_GB2312" w:hAnsi="仿宋_GB2312" w:eastAsia="仿宋_GB2312" w:cs="仿宋_GB2312"/>
                <w:sz w:val="19"/>
                <w:szCs w:val="19"/>
                <w:highlight w:val="none"/>
              </w:rPr>
              <w:t xml:space="preserve"> </w:t>
            </w:r>
            <w:r>
              <w:rPr>
                <w:rFonts w:hint="eastAsia" w:ascii="仿宋_GB2312" w:hAnsi="仿宋_GB2312" w:eastAsia="仿宋_GB2312" w:cs="仿宋_GB2312"/>
                <w:spacing w:val="8"/>
                <w:sz w:val="19"/>
                <w:szCs w:val="19"/>
                <w:highlight w:val="none"/>
              </w:rPr>
              <w:t>“进销存</w:t>
            </w:r>
            <w:r>
              <w:rPr>
                <w:rFonts w:hint="eastAsia" w:ascii="仿宋_GB2312" w:hAnsi="仿宋_GB2312" w:eastAsia="仿宋_GB2312" w:cs="仿宋_GB2312"/>
                <w:spacing w:val="-68"/>
                <w:sz w:val="19"/>
                <w:szCs w:val="19"/>
                <w:highlight w:val="none"/>
              </w:rPr>
              <w:t xml:space="preserve"> </w:t>
            </w:r>
            <w:r>
              <w:rPr>
                <w:rFonts w:hint="eastAsia" w:ascii="仿宋_GB2312" w:hAnsi="仿宋_GB2312" w:eastAsia="仿宋_GB2312" w:cs="仿宋_GB2312"/>
                <w:spacing w:val="8"/>
                <w:sz w:val="19"/>
                <w:szCs w:val="19"/>
                <w:highlight w:val="none"/>
              </w:rPr>
              <w:t>”系统导出进销存台账；购进药品、耗材合法</w:t>
            </w:r>
            <w:r>
              <w:rPr>
                <w:rFonts w:hint="eastAsia" w:ascii="仿宋_GB2312" w:hAnsi="仿宋_GB2312" w:eastAsia="仿宋_GB2312" w:cs="仿宋_GB2312"/>
                <w:spacing w:val="9"/>
                <w:sz w:val="19"/>
                <w:szCs w:val="19"/>
                <w:highlight w:val="none"/>
              </w:rPr>
              <w:t>票据的复印件及清单；现场查看情况、熟练操作情况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0"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宋体" w:eastAsia="仿宋_GB2312" w:cs="仿宋_GB2312"/>
                <w:i w:val="0"/>
                <w:color w:val="000000"/>
                <w:sz w:val="19"/>
                <w:szCs w:val="19"/>
                <w:u w:val="none"/>
              </w:rPr>
            </w:pPr>
            <w:r>
              <w:rPr>
                <w:rFonts w:hint="eastAsia" w:ascii="仿宋_GB2312" w:hAnsi="宋体" w:eastAsia="仿宋_GB2312" w:cs="仿宋_GB2312"/>
                <w:i w:val="0"/>
                <w:color w:val="000000"/>
                <w:kern w:val="0"/>
                <w:sz w:val="19"/>
                <w:szCs w:val="19"/>
                <w:u w:val="none"/>
                <w:lang w:val="en-US" w:eastAsia="zh-CN" w:bidi="ar"/>
              </w:rPr>
              <w:t>8</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宋体" w:eastAsia="仿宋_GB2312" w:cs="仿宋_GB2312"/>
                <w:i w:val="0"/>
                <w:color w:val="000000"/>
                <w:sz w:val="19"/>
                <w:szCs w:val="19"/>
                <w:u w:val="none"/>
              </w:rPr>
            </w:pPr>
            <w:r>
              <w:rPr>
                <w:rFonts w:hint="eastAsia" w:ascii="仿宋_GB2312" w:hAnsi="宋体" w:eastAsia="仿宋_GB2312" w:cs="仿宋_GB2312"/>
                <w:i w:val="0"/>
                <w:color w:val="000000"/>
                <w:kern w:val="0"/>
                <w:sz w:val="19"/>
                <w:szCs w:val="19"/>
                <w:u w:val="none"/>
                <w:lang w:val="en-US" w:eastAsia="zh-CN" w:bidi="ar"/>
              </w:rPr>
              <w:t>信息系统管理</w:t>
            </w:r>
          </w:p>
        </w:tc>
        <w:tc>
          <w:tcPr>
            <w:tcW w:w="53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left"/>
              <w:textAlignment w:val="center"/>
              <w:rPr>
                <w:rFonts w:hint="eastAsia" w:ascii="仿宋_GB2312" w:hAnsi="宋体" w:eastAsia="仿宋_GB2312" w:cs="仿宋_GB2312"/>
                <w:i w:val="0"/>
                <w:color w:val="000000"/>
                <w:sz w:val="19"/>
                <w:szCs w:val="19"/>
                <w:u w:val="none"/>
              </w:rPr>
            </w:pPr>
            <w:r>
              <w:rPr>
                <w:rFonts w:hint="eastAsia" w:ascii="仿宋_GB2312" w:hAnsi="仿宋_GB2312" w:eastAsia="仿宋_GB2312" w:cs="仿宋_GB2312"/>
                <w:snapToGrid w:val="0"/>
                <w:color w:val="000000"/>
                <w:spacing w:val="4"/>
                <w:kern w:val="0"/>
                <w:sz w:val="19"/>
                <w:szCs w:val="19"/>
                <w:highlight w:val="none"/>
                <w:lang w:val="en-US" w:eastAsia="zh-CN" w:bidi="ar-SA"/>
              </w:rPr>
              <w:t>正常使用符合医疗保险联</w:t>
            </w:r>
            <w:r>
              <w:rPr>
                <w:rFonts w:hint="eastAsia" w:ascii="仿宋_GB2312" w:hAnsi="仿宋_GB2312" w:eastAsia="仿宋_GB2312" w:cs="仿宋_GB2312"/>
                <w:snapToGrid w:val="0"/>
                <w:color w:val="auto"/>
                <w:spacing w:val="4"/>
                <w:kern w:val="0"/>
                <w:sz w:val="19"/>
                <w:szCs w:val="19"/>
                <w:highlight w:val="none"/>
                <w:lang w:val="en-US" w:eastAsia="zh-CN" w:bidi="ar-SA"/>
              </w:rPr>
              <w:t>网结算和智能监控要求的计算机管理系统，信息系统与医保系统完全直接对接、联网并实时上传相关原始数据并保证真实完整得5分；具备并能够正常使用符合国家药品追溯管理要求的扫码核验与数据上传系统得5分</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宋体" w:eastAsia="仿宋_GB2312" w:cs="仿宋_GB2312"/>
                <w:i w:val="0"/>
                <w:color w:val="000000"/>
                <w:sz w:val="19"/>
                <w:szCs w:val="19"/>
                <w:u w:val="none"/>
              </w:rPr>
            </w:pPr>
            <w:r>
              <w:rPr>
                <w:rFonts w:hint="eastAsia" w:ascii="仿宋_GB2312" w:hAnsi="宋体" w:eastAsia="仿宋_GB2312" w:cs="仿宋_GB2312"/>
                <w:i w:val="0"/>
                <w:color w:val="000000"/>
                <w:kern w:val="0"/>
                <w:sz w:val="19"/>
                <w:szCs w:val="19"/>
                <w:u w:val="none"/>
                <w:lang w:val="en-US" w:eastAsia="zh-CN" w:bidi="ar"/>
              </w:rPr>
              <w:t>10</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90" w:lineRule="exact"/>
              <w:jc w:val="center"/>
              <w:rPr>
                <w:rFonts w:hint="eastAsia" w:ascii="仿宋_GB2312" w:hAnsi="宋体" w:eastAsia="仿宋_GB2312" w:cs="仿宋_GB2312"/>
                <w:i w:val="0"/>
                <w:color w:val="000000"/>
                <w:sz w:val="21"/>
                <w:szCs w:val="21"/>
                <w:u w:val="none"/>
              </w:rPr>
            </w:pPr>
          </w:p>
        </w:tc>
        <w:tc>
          <w:tcPr>
            <w:tcW w:w="4491"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kinsoku/>
              <w:wordWrap/>
              <w:overflowPunct/>
              <w:topLinePunct w:val="0"/>
              <w:autoSpaceDE/>
              <w:autoSpaceDN/>
              <w:bidi w:val="0"/>
              <w:adjustRightInd/>
              <w:snapToGrid/>
              <w:spacing w:line="590" w:lineRule="exact"/>
              <w:jc w:val="left"/>
              <w:rPr>
                <w:rFonts w:hint="eastAsia" w:ascii="仿宋_GB2312" w:hAnsi="宋体" w:eastAsia="仿宋_GB2312" w:cs="仿宋_GB2312"/>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5"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宋体" w:eastAsia="仿宋_GB2312" w:cs="仿宋_GB2312"/>
                <w:i w:val="0"/>
                <w:color w:val="000000"/>
                <w:sz w:val="19"/>
                <w:szCs w:val="19"/>
                <w:u w:val="none"/>
              </w:rPr>
            </w:pPr>
            <w:r>
              <w:rPr>
                <w:rFonts w:hint="eastAsia" w:ascii="仿宋_GB2312" w:hAnsi="宋体" w:eastAsia="仿宋_GB2312" w:cs="仿宋_GB2312"/>
                <w:i w:val="0"/>
                <w:color w:val="000000"/>
                <w:kern w:val="0"/>
                <w:sz w:val="19"/>
                <w:szCs w:val="19"/>
                <w:u w:val="none"/>
                <w:lang w:val="en-US" w:eastAsia="zh-CN" w:bidi="ar"/>
              </w:rPr>
              <w:t>9</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宋体" w:eastAsia="仿宋_GB2312" w:cs="仿宋_GB2312"/>
                <w:i w:val="0"/>
                <w:color w:val="000000"/>
                <w:sz w:val="19"/>
                <w:szCs w:val="19"/>
                <w:u w:val="none"/>
              </w:rPr>
            </w:pPr>
            <w:r>
              <w:rPr>
                <w:rFonts w:hint="eastAsia" w:ascii="仿宋_GB2312" w:hAnsi="宋体" w:eastAsia="仿宋_GB2312" w:cs="仿宋_GB2312"/>
                <w:i w:val="0"/>
                <w:color w:val="000000"/>
                <w:kern w:val="0"/>
                <w:sz w:val="19"/>
                <w:szCs w:val="19"/>
                <w:u w:val="none"/>
                <w:lang w:val="en-US" w:eastAsia="zh-CN" w:bidi="ar"/>
              </w:rPr>
              <w:t>配备的基本医疗保险药</w:t>
            </w:r>
            <w:r>
              <w:rPr>
                <w:rStyle w:val="26"/>
                <w:rFonts w:hAnsi="宋体"/>
                <w:lang w:val="en-US" w:eastAsia="zh-CN" w:bidi="ar"/>
              </w:rPr>
              <w:t>品种类数量</w:t>
            </w:r>
          </w:p>
        </w:tc>
        <w:tc>
          <w:tcPr>
            <w:tcW w:w="53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left"/>
              <w:textAlignment w:val="center"/>
              <w:rPr>
                <w:rFonts w:hint="eastAsia" w:ascii="仿宋_GB2312" w:hAnsi="宋体" w:eastAsia="仿宋_GB2312" w:cs="仿宋_GB2312"/>
                <w:i w:val="0"/>
                <w:color w:val="000000"/>
                <w:sz w:val="19"/>
                <w:szCs w:val="19"/>
                <w:u w:val="none"/>
              </w:rPr>
            </w:pPr>
            <w:r>
              <w:rPr>
                <w:rFonts w:hint="eastAsia" w:ascii="仿宋_GB2312" w:hAnsi="仿宋_GB2312" w:eastAsia="仿宋_GB2312" w:cs="仿宋_GB2312"/>
                <w:snapToGrid w:val="0"/>
                <w:color w:val="000000"/>
                <w:spacing w:val="4"/>
                <w:kern w:val="0"/>
                <w:sz w:val="19"/>
                <w:szCs w:val="19"/>
                <w:highlight w:val="none"/>
                <w:lang w:val="en-US" w:eastAsia="zh-CN" w:bidi="ar-SA"/>
              </w:rPr>
              <w:t>达到220种（不含中药饮片）得3分，每增加100种加1分，最高5分</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宋体" w:eastAsia="仿宋_GB2312" w:cs="仿宋_GB2312"/>
                <w:i w:val="0"/>
                <w:color w:val="000000"/>
                <w:sz w:val="19"/>
                <w:szCs w:val="19"/>
                <w:u w:val="none"/>
              </w:rPr>
            </w:pPr>
            <w:r>
              <w:rPr>
                <w:rFonts w:hint="eastAsia" w:ascii="仿宋_GB2312" w:hAnsi="宋体" w:eastAsia="仿宋_GB2312" w:cs="仿宋_GB2312"/>
                <w:i w:val="0"/>
                <w:color w:val="000000"/>
                <w:kern w:val="0"/>
                <w:sz w:val="19"/>
                <w:szCs w:val="19"/>
                <w:u w:val="none"/>
                <w:lang w:val="en-US" w:eastAsia="zh-CN" w:bidi="ar"/>
              </w:rPr>
              <w:t>5</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90" w:lineRule="exact"/>
              <w:jc w:val="center"/>
              <w:rPr>
                <w:rFonts w:hint="eastAsia" w:ascii="仿宋_GB2312" w:hAnsi="宋体" w:eastAsia="仿宋_GB2312" w:cs="仿宋_GB2312"/>
                <w:i w:val="0"/>
                <w:color w:val="000000"/>
                <w:sz w:val="21"/>
                <w:szCs w:val="21"/>
                <w:u w:val="none"/>
              </w:rPr>
            </w:pPr>
          </w:p>
        </w:tc>
        <w:tc>
          <w:tcPr>
            <w:tcW w:w="4491" w:type="dxa"/>
            <w:tcBorders>
              <w:top w:val="single" w:color="000000" w:sz="4" w:space="0"/>
              <w:left w:val="single" w:color="000000" w:sz="4" w:space="0"/>
              <w:bottom w:val="single" w:color="000000" w:sz="4" w:space="0"/>
              <w:right w:val="single" w:color="000000" w:sz="4" w:space="0"/>
            </w:tcBorders>
            <w:shd w:val="clear" w:color="auto" w:fill="auto"/>
            <w:vAlign w:val="top"/>
          </w:tcPr>
          <w:p>
            <w:pPr>
              <w:pStyle w:val="21"/>
              <w:keepNext w:val="0"/>
              <w:keepLines w:val="0"/>
              <w:pageBreakBefore w:val="0"/>
              <w:kinsoku/>
              <w:wordWrap/>
              <w:overflowPunct/>
              <w:topLinePunct w:val="0"/>
              <w:autoSpaceDE/>
              <w:autoSpaceDN/>
              <w:bidi w:val="0"/>
              <w:adjustRightInd/>
              <w:snapToGrid/>
              <w:spacing w:before="152" w:line="590" w:lineRule="exact"/>
              <w:ind w:left="57" w:leftChars="0" w:right="205" w:rightChars="0" w:hanging="11" w:firstLineChars="0"/>
              <w:jc w:val="left"/>
              <w:rPr>
                <w:rFonts w:hint="eastAsia" w:ascii="仿宋_GB2312" w:hAnsi="宋体" w:eastAsia="仿宋_GB2312" w:cs="仿宋_GB2312"/>
                <w:i w:val="0"/>
                <w:color w:val="000000"/>
                <w:sz w:val="19"/>
                <w:szCs w:val="19"/>
                <w:u w:val="none"/>
              </w:rPr>
            </w:pPr>
            <w:r>
              <w:rPr>
                <w:rFonts w:hint="eastAsia" w:ascii="仿宋_GB2312" w:hAnsi="仿宋_GB2312" w:eastAsia="仿宋_GB2312" w:cs="仿宋_GB2312"/>
                <w:spacing w:val="8"/>
                <w:sz w:val="19"/>
                <w:szCs w:val="19"/>
                <w:highlight w:val="none"/>
              </w:rPr>
              <w:t>《医疗机构配备的药品统计表》及《医疗机构配备的药</w:t>
            </w:r>
            <w:r>
              <w:rPr>
                <w:rFonts w:hint="eastAsia" w:ascii="仿宋_GB2312" w:hAnsi="仿宋_GB2312" w:eastAsia="仿宋_GB2312" w:cs="仿宋_GB2312"/>
                <w:spacing w:val="3"/>
                <w:sz w:val="19"/>
                <w:szCs w:val="19"/>
                <w:highlight w:val="none"/>
              </w:rPr>
              <w:t>品明细清单》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0"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宋体" w:eastAsia="仿宋_GB2312" w:cs="仿宋_GB2312"/>
                <w:i w:val="0"/>
                <w:color w:val="000000"/>
                <w:sz w:val="19"/>
                <w:szCs w:val="19"/>
                <w:u w:val="none"/>
              </w:rPr>
            </w:pPr>
            <w:r>
              <w:rPr>
                <w:rFonts w:hint="eastAsia" w:ascii="仿宋_GB2312" w:hAnsi="宋体" w:eastAsia="仿宋_GB2312" w:cs="仿宋_GB2312"/>
                <w:i w:val="0"/>
                <w:color w:val="000000"/>
                <w:kern w:val="0"/>
                <w:sz w:val="19"/>
                <w:szCs w:val="19"/>
                <w:u w:val="none"/>
                <w:lang w:val="en-US" w:eastAsia="zh-CN" w:bidi="ar"/>
              </w:rPr>
              <w:t>10</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宋体" w:eastAsia="仿宋_GB2312" w:cs="仿宋_GB2312"/>
                <w:i w:val="0"/>
                <w:color w:val="000000"/>
                <w:sz w:val="19"/>
                <w:szCs w:val="19"/>
                <w:u w:val="none"/>
              </w:rPr>
            </w:pPr>
            <w:r>
              <w:rPr>
                <w:rFonts w:hint="eastAsia" w:ascii="仿宋_GB2312" w:hAnsi="宋体" w:eastAsia="仿宋_GB2312" w:cs="仿宋_GB2312"/>
                <w:i w:val="0"/>
                <w:color w:val="000000"/>
                <w:kern w:val="0"/>
                <w:sz w:val="19"/>
                <w:szCs w:val="19"/>
                <w:u w:val="none"/>
                <w:lang w:val="en-US" w:eastAsia="zh-CN" w:bidi="ar"/>
              </w:rPr>
              <w:t>具备日清单、出院结算</w:t>
            </w:r>
            <w:r>
              <w:rPr>
                <w:rStyle w:val="26"/>
                <w:rFonts w:hAnsi="宋体"/>
                <w:lang w:val="en-US" w:eastAsia="zh-CN" w:bidi="ar"/>
              </w:rPr>
              <w:t>明细单制度</w:t>
            </w:r>
          </w:p>
        </w:tc>
        <w:tc>
          <w:tcPr>
            <w:tcW w:w="53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left"/>
              <w:textAlignment w:val="center"/>
              <w:rPr>
                <w:rFonts w:hint="eastAsia" w:ascii="仿宋_GB2312" w:hAnsi="宋体" w:eastAsia="仿宋_GB2312" w:cs="仿宋_GB2312"/>
                <w:i w:val="0"/>
                <w:color w:val="000000"/>
                <w:sz w:val="19"/>
                <w:szCs w:val="19"/>
                <w:u w:val="none"/>
              </w:rPr>
            </w:pPr>
            <w:r>
              <w:rPr>
                <w:rFonts w:hint="eastAsia" w:ascii="仿宋_GB2312" w:hAnsi="仿宋_GB2312" w:eastAsia="仿宋_GB2312" w:cs="仿宋_GB2312"/>
                <w:snapToGrid w:val="0"/>
                <w:color w:val="000000"/>
                <w:spacing w:val="4"/>
                <w:kern w:val="0"/>
                <w:sz w:val="19"/>
                <w:szCs w:val="19"/>
                <w:highlight w:val="none"/>
                <w:lang w:val="en-US" w:eastAsia="zh-CN" w:bidi="ar-SA"/>
              </w:rPr>
              <w:t>每日给患者提供日清单、出院提供结算明细单和发票存根联，得5分，否则不得分</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宋体" w:eastAsia="仿宋_GB2312" w:cs="仿宋_GB2312"/>
                <w:i w:val="0"/>
                <w:color w:val="000000"/>
                <w:sz w:val="19"/>
                <w:szCs w:val="19"/>
                <w:u w:val="none"/>
              </w:rPr>
            </w:pPr>
            <w:r>
              <w:rPr>
                <w:rFonts w:hint="eastAsia" w:ascii="仿宋_GB2312" w:hAnsi="宋体" w:eastAsia="仿宋_GB2312" w:cs="仿宋_GB2312"/>
                <w:i w:val="0"/>
                <w:color w:val="000000"/>
                <w:kern w:val="0"/>
                <w:sz w:val="19"/>
                <w:szCs w:val="19"/>
                <w:u w:val="none"/>
                <w:lang w:val="en-US" w:eastAsia="zh-CN" w:bidi="ar"/>
              </w:rPr>
              <w:t>5</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90" w:lineRule="exact"/>
              <w:jc w:val="center"/>
              <w:rPr>
                <w:rFonts w:hint="eastAsia" w:ascii="仿宋_GB2312" w:hAnsi="宋体" w:eastAsia="仿宋_GB2312" w:cs="仿宋_GB2312"/>
                <w:i w:val="0"/>
                <w:color w:val="000000"/>
                <w:sz w:val="21"/>
                <w:szCs w:val="21"/>
                <w:u w:val="none"/>
              </w:rPr>
            </w:pPr>
          </w:p>
        </w:tc>
        <w:tc>
          <w:tcPr>
            <w:tcW w:w="4491" w:type="dxa"/>
            <w:tcBorders>
              <w:top w:val="single" w:color="000000" w:sz="4" w:space="0"/>
              <w:left w:val="single" w:color="000000" w:sz="4" w:space="0"/>
              <w:bottom w:val="single" w:color="000000" w:sz="4" w:space="0"/>
              <w:right w:val="single" w:color="000000" w:sz="4" w:space="0"/>
            </w:tcBorders>
            <w:shd w:val="clear" w:color="auto" w:fill="auto"/>
            <w:vAlign w:val="top"/>
          </w:tcPr>
          <w:p>
            <w:pPr>
              <w:pStyle w:val="21"/>
              <w:keepNext w:val="0"/>
              <w:keepLines w:val="0"/>
              <w:pageBreakBefore w:val="0"/>
              <w:kinsoku/>
              <w:wordWrap/>
              <w:overflowPunct/>
              <w:topLinePunct w:val="0"/>
              <w:autoSpaceDE/>
              <w:autoSpaceDN/>
              <w:bidi w:val="0"/>
              <w:adjustRightInd/>
              <w:snapToGrid/>
              <w:spacing w:before="235" w:line="590" w:lineRule="exact"/>
              <w:ind w:left="74" w:leftChars="0"/>
              <w:jc w:val="left"/>
              <w:rPr>
                <w:rFonts w:hint="eastAsia" w:ascii="仿宋_GB2312" w:hAnsi="宋体" w:eastAsia="仿宋_GB2312" w:cs="仿宋_GB2312"/>
                <w:i w:val="0"/>
                <w:color w:val="000000"/>
                <w:sz w:val="19"/>
                <w:szCs w:val="19"/>
                <w:u w:val="none"/>
              </w:rPr>
            </w:pPr>
            <w:r>
              <w:rPr>
                <w:rFonts w:hint="eastAsia" w:ascii="仿宋_GB2312" w:hAnsi="仿宋_GB2312" w:eastAsia="仿宋_GB2312" w:cs="仿宋_GB2312"/>
                <w:spacing w:val="7"/>
                <w:sz w:val="19"/>
                <w:szCs w:val="19"/>
                <w:highlight w:val="none"/>
              </w:rPr>
              <w:t>日清单、结算明细单示例。现场查看随机患者清单2份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5"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宋体" w:eastAsia="仿宋_GB2312" w:cs="仿宋_GB2312"/>
                <w:i w:val="0"/>
                <w:color w:val="000000"/>
                <w:sz w:val="19"/>
                <w:szCs w:val="19"/>
                <w:u w:val="none"/>
              </w:rPr>
            </w:pPr>
            <w:r>
              <w:rPr>
                <w:rFonts w:hint="eastAsia" w:ascii="仿宋_GB2312" w:hAnsi="宋体" w:eastAsia="仿宋_GB2312" w:cs="仿宋_GB2312"/>
                <w:i w:val="0"/>
                <w:color w:val="000000"/>
                <w:kern w:val="0"/>
                <w:sz w:val="19"/>
                <w:szCs w:val="19"/>
                <w:u w:val="none"/>
                <w:lang w:val="en-US" w:eastAsia="zh-CN" w:bidi="ar"/>
              </w:rPr>
              <w:t>11</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宋体" w:eastAsia="仿宋_GB2312" w:cs="仿宋_GB2312"/>
                <w:i w:val="0"/>
                <w:color w:val="000000"/>
                <w:sz w:val="19"/>
                <w:szCs w:val="19"/>
                <w:u w:val="none"/>
              </w:rPr>
            </w:pPr>
            <w:r>
              <w:rPr>
                <w:rFonts w:hint="eastAsia" w:ascii="仿宋_GB2312" w:hAnsi="宋体" w:eastAsia="仿宋_GB2312" w:cs="仿宋_GB2312"/>
                <w:i w:val="0"/>
                <w:color w:val="000000"/>
                <w:kern w:val="0"/>
                <w:sz w:val="19"/>
                <w:szCs w:val="19"/>
                <w:u w:val="none"/>
                <w:lang w:val="en-US" w:eastAsia="zh-CN" w:bidi="ar"/>
              </w:rPr>
              <w:t>价格收费情况</w:t>
            </w:r>
          </w:p>
        </w:tc>
        <w:tc>
          <w:tcPr>
            <w:tcW w:w="53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left"/>
              <w:textAlignment w:val="center"/>
              <w:rPr>
                <w:rFonts w:hint="eastAsia" w:ascii="仿宋_GB2312" w:hAnsi="宋体" w:eastAsia="仿宋_GB2312" w:cs="仿宋_GB2312"/>
                <w:i w:val="0"/>
                <w:color w:val="000000"/>
                <w:sz w:val="19"/>
                <w:szCs w:val="19"/>
                <w:u w:val="none"/>
              </w:rPr>
            </w:pPr>
            <w:r>
              <w:rPr>
                <w:rFonts w:hint="eastAsia" w:ascii="仿宋_GB2312" w:hAnsi="仿宋_GB2312" w:eastAsia="仿宋_GB2312" w:cs="仿宋_GB2312"/>
                <w:snapToGrid w:val="0"/>
                <w:color w:val="000000"/>
                <w:spacing w:val="4"/>
                <w:kern w:val="0"/>
                <w:sz w:val="19"/>
                <w:szCs w:val="19"/>
                <w:highlight w:val="none"/>
                <w:lang w:val="en-US" w:eastAsia="zh-CN" w:bidi="ar-SA"/>
              </w:rPr>
              <w:t>医院有完整明确的诊疗项目一览表及收费公示得2分；各医技科室有符合要求的检查人员日志登记簿得2分，病人检查项目与各科室登记簿核定一致得1分</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宋体" w:eastAsia="仿宋_GB2312" w:cs="仿宋_GB2312"/>
                <w:i w:val="0"/>
                <w:color w:val="000000"/>
                <w:sz w:val="19"/>
                <w:szCs w:val="19"/>
                <w:u w:val="none"/>
              </w:rPr>
            </w:pPr>
            <w:r>
              <w:rPr>
                <w:rFonts w:hint="eastAsia" w:ascii="仿宋_GB2312" w:hAnsi="宋体" w:eastAsia="仿宋_GB2312" w:cs="仿宋_GB2312"/>
                <w:i w:val="0"/>
                <w:color w:val="000000"/>
                <w:kern w:val="0"/>
                <w:sz w:val="19"/>
                <w:szCs w:val="19"/>
                <w:u w:val="none"/>
                <w:lang w:val="en-US" w:eastAsia="zh-CN" w:bidi="ar"/>
              </w:rPr>
              <w:t>5</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90" w:lineRule="exact"/>
              <w:jc w:val="center"/>
              <w:rPr>
                <w:rFonts w:hint="eastAsia" w:ascii="仿宋_GB2312" w:hAnsi="宋体" w:eastAsia="仿宋_GB2312" w:cs="仿宋_GB2312"/>
                <w:i w:val="0"/>
                <w:color w:val="000000"/>
                <w:sz w:val="21"/>
                <w:szCs w:val="21"/>
                <w:u w:val="none"/>
              </w:rPr>
            </w:pPr>
          </w:p>
        </w:tc>
        <w:tc>
          <w:tcPr>
            <w:tcW w:w="4491" w:type="dxa"/>
            <w:tcBorders>
              <w:top w:val="single" w:color="000000" w:sz="4" w:space="0"/>
              <w:left w:val="single" w:color="000000" w:sz="4" w:space="0"/>
              <w:bottom w:val="single" w:color="000000" w:sz="4" w:space="0"/>
              <w:right w:val="single" w:color="000000" w:sz="4" w:space="0"/>
            </w:tcBorders>
            <w:shd w:val="clear" w:color="auto" w:fill="auto"/>
            <w:vAlign w:val="top"/>
          </w:tcPr>
          <w:p>
            <w:pPr>
              <w:pStyle w:val="21"/>
              <w:keepNext w:val="0"/>
              <w:keepLines w:val="0"/>
              <w:pageBreakBefore w:val="0"/>
              <w:kinsoku/>
              <w:wordWrap/>
              <w:overflowPunct/>
              <w:topLinePunct w:val="0"/>
              <w:autoSpaceDE/>
              <w:autoSpaceDN/>
              <w:bidi w:val="0"/>
              <w:adjustRightInd/>
              <w:snapToGrid/>
              <w:spacing w:before="181" w:line="590" w:lineRule="exact"/>
              <w:ind w:left="43" w:leftChars="0" w:right="204" w:rightChars="0" w:hanging="2" w:firstLineChars="0"/>
              <w:jc w:val="left"/>
              <w:rPr>
                <w:rFonts w:hint="eastAsia" w:ascii="仿宋_GB2312" w:hAnsi="宋体" w:eastAsia="仿宋_GB2312" w:cs="仿宋_GB2312"/>
                <w:i w:val="0"/>
                <w:color w:val="000000"/>
                <w:sz w:val="19"/>
                <w:szCs w:val="19"/>
                <w:u w:val="none"/>
              </w:rPr>
            </w:pPr>
            <w:r>
              <w:rPr>
                <w:rFonts w:hint="eastAsia" w:ascii="仿宋_GB2312" w:hAnsi="仿宋_GB2312" w:eastAsia="仿宋_GB2312" w:cs="仿宋_GB2312"/>
                <w:spacing w:val="8"/>
                <w:sz w:val="19"/>
                <w:szCs w:val="19"/>
                <w:highlight w:val="none"/>
              </w:rPr>
              <w:t>提供完整明确的诊疗项目一览表及收费公示；各医技科室的检查人员日志登记簿；现场随机查看出院患者结算</w:t>
            </w:r>
            <w:r>
              <w:rPr>
                <w:rFonts w:hint="eastAsia" w:ascii="仿宋_GB2312" w:hAnsi="仿宋_GB2312" w:eastAsia="仿宋_GB2312" w:cs="仿宋_GB2312"/>
                <w:spacing w:val="6"/>
                <w:sz w:val="19"/>
                <w:szCs w:val="19"/>
                <w:highlight w:val="none"/>
              </w:rPr>
              <w:t>明细单2份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宋体" w:eastAsia="仿宋_GB2312" w:cs="仿宋_GB2312"/>
                <w:i w:val="0"/>
                <w:color w:val="000000"/>
                <w:sz w:val="19"/>
                <w:szCs w:val="19"/>
                <w:u w:val="none"/>
              </w:rPr>
            </w:pPr>
            <w:r>
              <w:rPr>
                <w:rFonts w:hint="eastAsia" w:ascii="仿宋_GB2312" w:hAnsi="宋体" w:eastAsia="仿宋_GB2312" w:cs="仿宋_GB2312"/>
                <w:i w:val="0"/>
                <w:color w:val="000000"/>
                <w:kern w:val="0"/>
                <w:sz w:val="19"/>
                <w:szCs w:val="19"/>
                <w:u w:val="none"/>
                <w:lang w:val="en-US" w:eastAsia="zh-CN" w:bidi="ar"/>
              </w:rPr>
              <w:t>12</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宋体" w:eastAsia="仿宋_GB2312" w:cs="仿宋_GB2312"/>
                <w:i w:val="0"/>
                <w:color w:val="000000"/>
                <w:sz w:val="19"/>
                <w:szCs w:val="19"/>
                <w:u w:val="none"/>
              </w:rPr>
            </w:pPr>
            <w:r>
              <w:rPr>
                <w:rFonts w:hint="eastAsia" w:ascii="仿宋_GB2312" w:hAnsi="宋体" w:eastAsia="仿宋_GB2312" w:cs="仿宋_GB2312"/>
                <w:i w:val="0"/>
                <w:color w:val="000000"/>
                <w:kern w:val="0"/>
                <w:sz w:val="19"/>
                <w:szCs w:val="19"/>
                <w:u w:val="none"/>
                <w:lang w:val="en-US" w:eastAsia="zh-CN" w:bidi="ar"/>
              </w:rPr>
              <w:t>住院病历抽查情况</w:t>
            </w:r>
          </w:p>
        </w:tc>
        <w:tc>
          <w:tcPr>
            <w:tcW w:w="53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left"/>
              <w:textAlignment w:val="center"/>
              <w:rPr>
                <w:rFonts w:hint="eastAsia" w:ascii="仿宋_GB2312" w:hAnsi="宋体" w:eastAsia="仿宋_GB2312" w:cs="仿宋_GB2312"/>
                <w:i w:val="0"/>
                <w:color w:val="000000"/>
                <w:sz w:val="19"/>
                <w:szCs w:val="19"/>
                <w:u w:val="none"/>
              </w:rPr>
            </w:pPr>
            <w:r>
              <w:rPr>
                <w:rFonts w:hint="eastAsia" w:ascii="仿宋_GB2312" w:hAnsi="仿宋_GB2312" w:eastAsia="仿宋_GB2312" w:cs="仿宋_GB2312"/>
                <w:snapToGrid w:val="0"/>
                <w:color w:val="000000"/>
                <w:spacing w:val="4"/>
                <w:kern w:val="0"/>
                <w:sz w:val="19"/>
                <w:szCs w:val="19"/>
                <w:highlight w:val="none"/>
                <w:lang w:val="en-US" w:eastAsia="zh-CN" w:bidi="ar-SA"/>
              </w:rPr>
              <w:t>随机抽取近期5份住院病历，由相关专家对其完整性、规范性、合理性等情况进行评估，不符合规范的每份扣1分，扣完为止。</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宋体" w:eastAsia="仿宋_GB2312" w:cs="仿宋_GB2312"/>
                <w:i w:val="0"/>
                <w:color w:val="000000"/>
                <w:sz w:val="19"/>
                <w:szCs w:val="19"/>
                <w:u w:val="none"/>
              </w:rPr>
            </w:pPr>
            <w:r>
              <w:rPr>
                <w:rFonts w:hint="eastAsia" w:ascii="仿宋_GB2312" w:hAnsi="宋体" w:eastAsia="仿宋_GB2312" w:cs="仿宋_GB2312"/>
                <w:i w:val="0"/>
                <w:color w:val="000000"/>
                <w:kern w:val="0"/>
                <w:sz w:val="19"/>
                <w:szCs w:val="19"/>
                <w:u w:val="none"/>
                <w:lang w:val="en-US" w:eastAsia="zh-CN" w:bidi="ar"/>
              </w:rPr>
              <w:t>5</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90" w:lineRule="exact"/>
              <w:jc w:val="center"/>
              <w:rPr>
                <w:rFonts w:hint="eastAsia" w:ascii="仿宋_GB2312" w:hAnsi="宋体" w:eastAsia="仿宋_GB2312" w:cs="仿宋_GB2312"/>
                <w:i w:val="0"/>
                <w:color w:val="000000"/>
                <w:sz w:val="21"/>
                <w:szCs w:val="21"/>
                <w:u w:val="none"/>
              </w:rPr>
            </w:pPr>
          </w:p>
        </w:tc>
        <w:tc>
          <w:tcPr>
            <w:tcW w:w="4491" w:type="dxa"/>
            <w:tcBorders>
              <w:top w:val="single" w:color="000000" w:sz="4" w:space="0"/>
              <w:left w:val="single" w:color="000000" w:sz="4" w:space="0"/>
              <w:bottom w:val="single" w:color="000000" w:sz="4" w:space="0"/>
              <w:right w:val="single" w:color="000000" w:sz="4" w:space="0"/>
            </w:tcBorders>
            <w:shd w:val="clear" w:color="auto" w:fill="auto"/>
            <w:vAlign w:val="top"/>
          </w:tcPr>
          <w:p>
            <w:pPr>
              <w:pStyle w:val="21"/>
              <w:keepNext w:val="0"/>
              <w:keepLines w:val="0"/>
              <w:pageBreakBefore w:val="0"/>
              <w:kinsoku/>
              <w:wordWrap/>
              <w:overflowPunct/>
              <w:topLinePunct w:val="0"/>
              <w:autoSpaceDE/>
              <w:autoSpaceDN/>
              <w:bidi w:val="0"/>
              <w:adjustRightInd/>
              <w:snapToGrid/>
              <w:spacing w:before="115" w:line="590" w:lineRule="exact"/>
              <w:ind w:left="45" w:leftChars="0" w:right="103" w:rightChars="0" w:firstLine="6" w:firstLineChars="0"/>
              <w:jc w:val="left"/>
              <w:rPr>
                <w:rFonts w:hint="eastAsia" w:ascii="仿宋_GB2312" w:hAnsi="宋体" w:eastAsia="仿宋_GB2312" w:cs="仿宋_GB2312"/>
                <w:i w:val="0"/>
                <w:color w:val="000000"/>
                <w:sz w:val="19"/>
                <w:szCs w:val="19"/>
                <w:u w:val="none"/>
              </w:rPr>
            </w:pPr>
            <w:r>
              <w:rPr>
                <w:rFonts w:hint="eastAsia" w:ascii="仿宋_GB2312" w:hAnsi="仿宋_GB2312" w:eastAsia="仿宋_GB2312" w:cs="仿宋_GB2312"/>
                <w:spacing w:val="8"/>
                <w:sz w:val="19"/>
                <w:szCs w:val="19"/>
                <w:highlight w:val="none"/>
              </w:rPr>
              <w:t>随机抽取近期5份住院病历，由相关专家对其完整性、规范性、合理性等情况进行评估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5"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宋体" w:eastAsia="仿宋_GB2312" w:cs="仿宋_GB2312"/>
                <w:i w:val="0"/>
                <w:color w:val="000000"/>
                <w:sz w:val="19"/>
                <w:szCs w:val="19"/>
                <w:u w:val="none"/>
              </w:rPr>
            </w:pPr>
            <w:r>
              <w:rPr>
                <w:rFonts w:hint="eastAsia" w:ascii="仿宋_GB2312" w:hAnsi="宋体" w:eastAsia="仿宋_GB2312" w:cs="仿宋_GB2312"/>
                <w:i w:val="0"/>
                <w:color w:val="000000"/>
                <w:kern w:val="0"/>
                <w:sz w:val="19"/>
                <w:szCs w:val="19"/>
                <w:u w:val="none"/>
                <w:lang w:val="en-US" w:eastAsia="zh-CN" w:bidi="ar"/>
              </w:rPr>
              <w:t>13</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宋体" w:eastAsia="仿宋_GB2312" w:cs="仿宋_GB2312"/>
                <w:i w:val="0"/>
                <w:color w:val="000000"/>
                <w:sz w:val="19"/>
                <w:szCs w:val="19"/>
                <w:u w:val="none"/>
              </w:rPr>
            </w:pPr>
            <w:r>
              <w:rPr>
                <w:rFonts w:hint="eastAsia" w:ascii="仿宋_GB2312" w:hAnsi="宋体" w:eastAsia="仿宋_GB2312" w:cs="仿宋_GB2312"/>
                <w:i w:val="0"/>
                <w:color w:val="000000"/>
                <w:kern w:val="0"/>
                <w:sz w:val="19"/>
                <w:szCs w:val="19"/>
                <w:u w:val="none"/>
                <w:lang w:val="en-US" w:eastAsia="zh-CN" w:bidi="ar"/>
              </w:rPr>
              <w:t>参加社会保险情况</w:t>
            </w:r>
          </w:p>
        </w:tc>
        <w:tc>
          <w:tcPr>
            <w:tcW w:w="53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left"/>
              <w:textAlignment w:val="center"/>
              <w:rPr>
                <w:rFonts w:hint="eastAsia" w:ascii="仿宋_GB2312" w:hAnsi="宋体" w:eastAsia="仿宋_GB2312" w:cs="仿宋_GB2312"/>
                <w:i w:val="0"/>
                <w:color w:val="000000"/>
                <w:sz w:val="19"/>
                <w:szCs w:val="19"/>
                <w:u w:val="none"/>
              </w:rPr>
            </w:pPr>
            <w:r>
              <w:rPr>
                <w:rFonts w:hint="eastAsia" w:ascii="仿宋_GB2312" w:hAnsi="仿宋_GB2312" w:eastAsia="仿宋_GB2312" w:cs="仿宋_GB2312"/>
                <w:snapToGrid w:val="0"/>
                <w:color w:val="000000"/>
                <w:spacing w:val="4"/>
                <w:kern w:val="0"/>
                <w:sz w:val="19"/>
                <w:szCs w:val="19"/>
                <w:highlight w:val="none"/>
                <w:lang w:val="en-US" w:eastAsia="zh-CN" w:bidi="ar-SA"/>
              </w:rPr>
              <w:t>所有员工参加社会保险并缴纳社会保险费得5分，否则不得分</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宋体" w:eastAsia="仿宋_GB2312" w:cs="仿宋_GB2312"/>
                <w:i w:val="0"/>
                <w:color w:val="000000"/>
                <w:sz w:val="19"/>
                <w:szCs w:val="19"/>
                <w:u w:val="none"/>
              </w:rPr>
            </w:pPr>
            <w:r>
              <w:rPr>
                <w:rFonts w:hint="eastAsia" w:ascii="仿宋_GB2312" w:hAnsi="宋体" w:eastAsia="仿宋_GB2312" w:cs="仿宋_GB2312"/>
                <w:i w:val="0"/>
                <w:color w:val="000000"/>
                <w:kern w:val="0"/>
                <w:sz w:val="19"/>
                <w:szCs w:val="19"/>
                <w:u w:val="none"/>
                <w:lang w:val="en-US" w:eastAsia="zh-CN" w:bidi="ar"/>
              </w:rPr>
              <w:t>5</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90" w:lineRule="exact"/>
              <w:jc w:val="center"/>
              <w:rPr>
                <w:rFonts w:hint="eastAsia" w:ascii="仿宋_GB2312" w:hAnsi="宋体" w:eastAsia="仿宋_GB2312" w:cs="仿宋_GB2312"/>
                <w:i w:val="0"/>
                <w:color w:val="000000"/>
                <w:sz w:val="21"/>
                <w:szCs w:val="21"/>
                <w:u w:val="none"/>
              </w:rPr>
            </w:pPr>
          </w:p>
        </w:tc>
        <w:tc>
          <w:tcPr>
            <w:tcW w:w="4491" w:type="dxa"/>
            <w:tcBorders>
              <w:top w:val="single" w:color="000000" w:sz="4" w:space="0"/>
              <w:left w:val="single" w:color="000000" w:sz="4" w:space="0"/>
              <w:bottom w:val="single" w:color="000000" w:sz="4" w:space="0"/>
              <w:right w:val="single" w:color="000000" w:sz="4" w:space="0"/>
            </w:tcBorders>
            <w:shd w:val="clear" w:color="auto" w:fill="auto"/>
            <w:vAlign w:val="top"/>
          </w:tcPr>
          <w:p>
            <w:pPr>
              <w:pStyle w:val="21"/>
              <w:keepNext w:val="0"/>
              <w:keepLines w:val="0"/>
              <w:pageBreakBefore w:val="0"/>
              <w:kinsoku/>
              <w:wordWrap/>
              <w:overflowPunct/>
              <w:topLinePunct w:val="0"/>
              <w:autoSpaceDE/>
              <w:autoSpaceDN/>
              <w:bidi w:val="0"/>
              <w:adjustRightInd/>
              <w:snapToGrid/>
              <w:spacing w:before="118" w:line="590" w:lineRule="exact"/>
              <w:ind w:left="41" w:leftChars="0" w:right="204" w:rightChars="0"/>
              <w:jc w:val="left"/>
              <w:rPr>
                <w:rFonts w:hint="eastAsia" w:ascii="仿宋_GB2312" w:hAnsi="宋体" w:eastAsia="仿宋_GB2312" w:cs="仿宋_GB2312"/>
                <w:i w:val="0"/>
                <w:color w:val="000000"/>
                <w:sz w:val="19"/>
                <w:szCs w:val="19"/>
                <w:u w:val="none"/>
              </w:rPr>
            </w:pPr>
            <w:r>
              <w:rPr>
                <w:rFonts w:hint="eastAsia" w:ascii="仿宋_GB2312" w:hAnsi="仿宋_GB2312" w:eastAsia="仿宋_GB2312" w:cs="仿宋_GB2312"/>
                <w:spacing w:val="8"/>
                <w:sz w:val="19"/>
                <w:szCs w:val="19"/>
                <w:highlight w:val="none"/>
              </w:rPr>
              <w:t>提供单位参保人员花名册、已参保缴费证明，其中返聘退休人员的，提供退休证明材料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ordWrap/>
              <w:overflowPunct/>
              <w:topLinePunct w:val="0"/>
              <w:bidi w:val="0"/>
              <w:spacing w:line="590" w:lineRule="exact"/>
              <w:jc w:val="center"/>
              <w:rPr>
                <w:rFonts w:hint="eastAsia" w:ascii="仿宋_GB2312" w:hAnsi="宋体" w:eastAsia="仿宋_GB2312" w:cs="仿宋_GB2312"/>
                <w:i w:val="0"/>
                <w:color w:val="000000"/>
                <w:sz w:val="21"/>
                <w:szCs w:val="21"/>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ordWrap/>
              <w:overflowPunct/>
              <w:topLinePunct w:val="0"/>
              <w:bidi w:val="0"/>
              <w:spacing w:line="590" w:lineRule="exact"/>
              <w:jc w:val="center"/>
              <w:rPr>
                <w:rFonts w:hint="eastAsia" w:ascii="仿宋_GB2312" w:hAnsi="宋体" w:eastAsia="仿宋_GB2312" w:cs="仿宋_GB2312"/>
                <w:i w:val="0"/>
                <w:color w:val="000000"/>
                <w:sz w:val="21"/>
                <w:szCs w:val="21"/>
                <w:u w:val="none"/>
              </w:rPr>
            </w:pPr>
          </w:p>
        </w:tc>
        <w:tc>
          <w:tcPr>
            <w:tcW w:w="53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overflowPunct/>
              <w:topLinePunct w:val="0"/>
              <w:bidi w:val="0"/>
              <w:spacing w:line="590" w:lineRule="exact"/>
              <w:jc w:val="center"/>
              <w:textAlignment w:val="center"/>
              <w:rPr>
                <w:rFonts w:hint="eastAsia" w:ascii="仿宋_GB2312" w:hAnsi="宋体" w:eastAsia="仿宋_GB2312" w:cs="仿宋_GB2312"/>
                <w:b/>
                <w:i w:val="0"/>
                <w:color w:val="000000"/>
                <w:sz w:val="19"/>
                <w:szCs w:val="19"/>
                <w:u w:val="none"/>
              </w:rPr>
            </w:pPr>
            <w:r>
              <w:rPr>
                <w:rFonts w:hint="eastAsia" w:ascii="仿宋_GB2312" w:hAnsi="宋体" w:eastAsia="仿宋_GB2312" w:cs="仿宋_GB2312"/>
                <w:b/>
                <w:i w:val="0"/>
                <w:color w:val="000000"/>
                <w:kern w:val="0"/>
                <w:sz w:val="19"/>
                <w:szCs w:val="19"/>
                <w:u w:val="none"/>
                <w:lang w:val="en-US" w:eastAsia="zh-CN" w:bidi="ar"/>
              </w:rPr>
              <w:t>分值合计</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overflowPunct/>
              <w:topLinePunct w:val="0"/>
              <w:bidi w:val="0"/>
              <w:spacing w:line="590" w:lineRule="exact"/>
              <w:jc w:val="center"/>
              <w:textAlignment w:val="center"/>
              <w:rPr>
                <w:rFonts w:hint="eastAsia" w:ascii="仿宋_GB2312" w:hAnsi="宋体" w:eastAsia="仿宋_GB2312" w:cs="仿宋_GB2312"/>
                <w:i w:val="0"/>
                <w:color w:val="000000"/>
                <w:sz w:val="19"/>
                <w:szCs w:val="19"/>
                <w:u w:val="none"/>
              </w:rPr>
            </w:pPr>
            <w:r>
              <w:rPr>
                <w:rFonts w:hint="eastAsia" w:ascii="仿宋_GB2312" w:hAnsi="宋体" w:eastAsia="仿宋_GB2312" w:cs="仿宋_GB2312"/>
                <w:i w:val="0"/>
                <w:color w:val="000000"/>
                <w:kern w:val="0"/>
                <w:sz w:val="19"/>
                <w:szCs w:val="19"/>
                <w:u w:val="none"/>
                <w:lang w:val="en-US" w:eastAsia="zh-CN" w:bidi="ar"/>
              </w:rPr>
              <w:t>100</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ordWrap/>
              <w:overflowPunct/>
              <w:topLinePunct w:val="0"/>
              <w:bidi w:val="0"/>
              <w:spacing w:line="590" w:lineRule="exact"/>
              <w:jc w:val="center"/>
              <w:rPr>
                <w:rFonts w:hint="eastAsia" w:ascii="仿宋_GB2312" w:hAnsi="宋体" w:eastAsia="仿宋_GB2312" w:cs="仿宋_GB2312"/>
                <w:i w:val="0"/>
                <w:color w:val="000000"/>
                <w:sz w:val="21"/>
                <w:szCs w:val="21"/>
                <w:u w:val="none"/>
              </w:rPr>
            </w:pPr>
          </w:p>
        </w:tc>
        <w:tc>
          <w:tcPr>
            <w:tcW w:w="4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ordWrap/>
              <w:overflowPunct/>
              <w:topLinePunct w:val="0"/>
              <w:bidi w:val="0"/>
              <w:spacing w:line="590" w:lineRule="exact"/>
              <w:jc w:val="center"/>
              <w:rPr>
                <w:rFonts w:hint="eastAsia" w:ascii="宋体" w:hAnsi="宋体" w:eastAsia="宋体" w:cs="宋体"/>
                <w:i w:val="0"/>
                <w:color w:val="000000"/>
                <w:sz w:val="24"/>
                <w:szCs w:val="24"/>
                <w:u w:val="none"/>
              </w:rPr>
            </w:pPr>
          </w:p>
        </w:tc>
      </w:tr>
    </w:tbl>
    <w:p>
      <w:pPr>
        <w:pStyle w:val="2"/>
        <w:keepNext w:val="0"/>
        <w:keepLines w:val="0"/>
        <w:pageBreakBefore w:val="0"/>
        <w:wordWrap/>
        <w:overflowPunct/>
        <w:topLinePunct w:val="0"/>
        <w:bidi w:val="0"/>
        <w:spacing w:line="590" w:lineRule="exact"/>
        <w:rPr>
          <w:rFonts w:hint="default"/>
        </w:rPr>
      </w:pPr>
    </w:p>
    <w:p>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芜湖市基本医疗保险定点医疗机构评分标准表</w:t>
      </w:r>
    </w:p>
    <w:p>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（非住院类医疗机构 80分合格）</w:t>
      </w:r>
    </w:p>
    <w:p>
      <w:pPr>
        <w:pStyle w:val="2"/>
        <w:rPr>
          <w:rFonts w:hint="eastAsia"/>
        </w:rPr>
      </w:pPr>
    </w:p>
    <w:tbl>
      <w:tblPr>
        <w:tblStyle w:val="12"/>
        <w:tblW w:w="1414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00"/>
        <w:gridCol w:w="2234"/>
        <w:gridCol w:w="5109"/>
        <w:gridCol w:w="874"/>
        <w:gridCol w:w="843"/>
        <w:gridCol w:w="448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28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overflowPunct/>
              <w:topLinePunct w:val="0"/>
              <w:bidi w:val="0"/>
              <w:spacing w:line="590" w:lineRule="exact"/>
              <w:jc w:val="center"/>
              <w:textAlignment w:val="center"/>
              <w:rPr>
                <w:rFonts w:ascii="黑体" w:hAnsi="宋体" w:eastAsia="黑体" w:cs="黑体"/>
                <w:i w:val="0"/>
                <w:color w:val="000000"/>
                <w:sz w:val="21"/>
                <w:szCs w:val="21"/>
                <w:u w:val="none"/>
              </w:rPr>
            </w:pPr>
            <w:r>
              <w:rPr>
                <w:rFonts w:hint="eastAsia" w:ascii="黑体" w:hAnsi="宋体" w:eastAsia="黑体" w:cs="黑体"/>
                <w:i w:val="0"/>
                <w:color w:val="000000"/>
                <w:kern w:val="0"/>
                <w:sz w:val="21"/>
                <w:szCs w:val="21"/>
                <w:u w:val="none"/>
                <w:lang w:val="en-US" w:eastAsia="zh-CN" w:bidi="ar"/>
              </w:rPr>
              <w:t>医疗机构名称</w:t>
            </w:r>
          </w:p>
        </w:tc>
        <w:tc>
          <w:tcPr>
            <w:tcW w:w="1131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ordWrap/>
              <w:overflowPunct/>
              <w:topLinePunct w:val="0"/>
              <w:bidi w:val="0"/>
              <w:spacing w:line="590" w:lineRule="exact"/>
              <w:jc w:val="center"/>
              <w:rPr>
                <w:rFonts w:hint="eastAsia" w:ascii="Arial" w:hAnsi="Arial" w:eastAsia="宋体" w:cs="Arial"/>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28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ordWrap/>
              <w:overflowPunct/>
              <w:topLinePunct w:val="0"/>
              <w:bidi w:val="0"/>
              <w:spacing w:line="590" w:lineRule="exact"/>
              <w:jc w:val="center"/>
              <w:rPr>
                <w:rFonts w:hint="default" w:ascii="Arial" w:hAnsi="Arial" w:eastAsia="宋体" w:cs="Arial"/>
                <w:i w:val="0"/>
                <w:color w:val="000000"/>
                <w:sz w:val="21"/>
                <w:szCs w:val="21"/>
                <w:u w:val="none"/>
              </w:rPr>
            </w:pPr>
          </w:p>
        </w:tc>
        <w:tc>
          <w:tcPr>
            <w:tcW w:w="1131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overflowPunct/>
              <w:topLinePunct w:val="0"/>
              <w:bidi w:val="0"/>
              <w:spacing w:line="590" w:lineRule="exact"/>
              <w:jc w:val="center"/>
              <w:textAlignment w:val="center"/>
              <w:rPr>
                <w:rFonts w:hint="eastAsia" w:ascii="黑体" w:hAnsi="宋体" w:eastAsia="黑体" w:cs="黑体"/>
                <w:i w:val="0"/>
                <w:color w:val="000000"/>
                <w:sz w:val="27"/>
                <w:szCs w:val="27"/>
                <w:u w:val="none"/>
              </w:rPr>
            </w:pPr>
            <w:r>
              <w:rPr>
                <w:rFonts w:hint="eastAsia" w:ascii="黑体" w:hAnsi="宋体" w:eastAsia="黑体" w:cs="黑体"/>
                <w:i w:val="0"/>
                <w:color w:val="000000"/>
                <w:kern w:val="0"/>
                <w:sz w:val="27"/>
                <w:szCs w:val="27"/>
                <w:u w:val="none"/>
                <w:lang w:val="en-US" w:eastAsia="zh-CN" w:bidi="ar"/>
              </w:rPr>
              <w:t>否</w:t>
            </w:r>
            <w:r>
              <w:rPr>
                <w:rStyle w:val="28"/>
                <w:lang w:val="en-US" w:eastAsia="zh-CN" w:bidi="ar"/>
              </w:rPr>
              <w:t xml:space="preserve"> 决 项 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overflowPunct/>
              <w:topLinePunct w:val="0"/>
              <w:bidi w:val="0"/>
              <w:spacing w:line="590" w:lineRule="exact"/>
              <w:jc w:val="center"/>
              <w:textAlignment w:val="center"/>
              <w:rPr>
                <w:rFonts w:hint="eastAsia" w:ascii="宋体" w:hAnsi="宋体" w:eastAsia="宋体" w:cs="宋体"/>
                <w:b/>
                <w:i w:val="0"/>
                <w:color w:val="000000"/>
                <w:sz w:val="19"/>
                <w:szCs w:val="19"/>
                <w:u w:val="none"/>
              </w:rPr>
            </w:pPr>
            <w:r>
              <w:rPr>
                <w:rFonts w:hint="eastAsia" w:ascii="宋体" w:hAnsi="宋体" w:eastAsia="宋体" w:cs="宋体"/>
                <w:b/>
                <w:i w:val="0"/>
                <w:color w:val="000000"/>
                <w:kern w:val="0"/>
                <w:sz w:val="19"/>
                <w:szCs w:val="19"/>
                <w:u w:val="none"/>
                <w:lang w:val="en-US" w:eastAsia="zh-CN" w:bidi="ar"/>
              </w:rPr>
              <w:t>序号</w:t>
            </w:r>
          </w:p>
        </w:tc>
        <w:tc>
          <w:tcPr>
            <w:tcW w:w="22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overflowPunct/>
              <w:topLinePunct w:val="0"/>
              <w:bidi w:val="0"/>
              <w:spacing w:line="590" w:lineRule="exact"/>
              <w:jc w:val="center"/>
              <w:textAlignment w:val="center"/>
              <w:rPr>
                <w:rFonts w:hint="eastAsia" w:ascii="宋体" w:hAnsi="宋体" w:eastAsia="宋体" w:cs="宋体"/>
                <w:b/>
                <w:i w:val="0"/>
                <w:color w:val="000000"/>
                <w:sz w:val="19"/>
                <w:szCs w:val="19"/>
                <w:u w:val="none"/>
              </w:rPr>
            </w:pPr>
            <w:r>
              <w:rPr>
                <w:rFonts w:hint="eastAsia" w:ascii="宋体" w:hAnsi="宋体" w:eastAsia="宋体" w:cs="宋体"/>
                <w:b/>
                <w:i w:val="0"/>
                <w:color w:val="000000"/>
                <w:kern w:val="0"/>
                <w:sz w:val="19"/>
                <w:szCs w:val="19"/>
                <w:u w:val="none"/>
                <w:lang w:val="en-US" w:eastAsia="zh-CN" w:bidi="ar"/>
              </w:rPr>
              <w:t>评定项目</w:t>
            </w:r>
          </w:p>
        </w:tc>
        <w:tc>
          <w:tcPr>
            <w:tcW w:w="5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overflowPunct/>
              <w:topLinePunct w:val="0"/>
              <w:bidi w:val="0"/>
              <w:spacing w:line="590" w:lineRule="exact"/>
              <w:jc w:val="center"/>
              <w:textAlignment w:val="center"/>
              <w:rPr>
                <w:rFonts w:hint="eastAsia" w:ascii="宋体" w:hAnsi="宋体" w:eastAsia="宋体" w:cs="宋体"/>
                <w:b/>
                <w:i w:val="0"/>
                <w:color w:val="000000"/>
                <w:sz w:val="19"/>
                <w:szCs w:val="19"/>
                <w:u w:val="none"/>
              </w:rPr>
            </w:pPr>
            <w:r>
              <w:rPr>
                <w:rFonts w:hint="eastAsia" w:ascii="宋体" w:hAnsi="宋体" w:eastAsia="宋体" w:cs="宋体"/>
                <w:b/>
                <w:i w:val="0"/>
                <w:color w:val="000000"/>
                <w:kern w:val="0"/>
                <w:sz w:val="19"/>
                <w:szCs w:val="19"/>
                <w:u w:val="none"/>
                <w:lang w:val="en-US" w:eastAsia="zh-CN" w:bidi="ar"/>
              </w:rPr>
              <w:t>评定标准</w:t>
            </w:r>
          </w:p>
        </w:tc>
        <w:tc>
          <w:tcPr>
            <w:tcW w:w="17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overflowPunct/>
              <w:topLinePunct w:val="0"/>
              <w:bidi w:val="0"/>
              <w:spacing w:line="590" w:lineRule="exact"/>
              <w:jc w:val="center"/>
              <w:textAlignment w:val="center"/>
              <w:rPr>
                <w:rFonts w:hint="eastAsia" w:ascii="宋体" w:hAnsi="宋体" w:eastAsia="宋体" w:cs="宋体"/>
                <w:b/>
                <w:i w:val="0"/>
                <w:color w:val="000000"/>
                <w:sz w:val="19"/>
                <w:szCs w:val="19"/>
                <w:u w:val="none"/>
              </w:rPr>
            </w:pPr>
            <w:r>
              <w:rPr>
                <w:rFonts w:hint="eastAsia" w:ascii="宋体" w:hAnsi="宋体" w:eastAsia="宋体" w:cs="宋体"/>
                <w:b/>
                <w:i w:val="0"/>
                <w:color w:val="000000"/>
                <w:kern w:val="0"/>
                <w:sz w:val="19"/>
                <w:szCs w:val="19"/>
                <w:u w:val="none"/>
                <w:lang w:val="en-US" w:eastAsia="zh-CN" w:bidi="ar"/>
              </w:rPr>
              <w:t>评</w:t>
            </w:r>
            <w:r>
              <w:rPr>
                <w:rFonts w:hint="eastAsia" w:ascii="宋体" w:hAnsi="宋体" w:eastAsia="宋体" w:cs="宋体"/>
                <w:i w:val="0"/>
                <w:color w:val="000000"/>
                <w:kern w:val="0"/>
                <w:sz w:val="19"/>
                <w:szCs w:val="19"/>
                <w:u w:val="none"/>
                <w:lang w:val="en-US" w:eastAsia="zh-CN" w:bidi="ar"/>
              </w:rPr>
              <w:t xml:space="preserve"> </w:t>
            </w:r>
            <w:r>
              <w:rPr>
                <w:rStyle w:val="29"/>
                <w:lang w:val="en-US" w:eastAsia="zh-CN" w:bidi="ar"/>
              </w:rPr>
              <w:t>定</w:t>
            </w:r>
            <w:r>
              <w:rPr>
                <w:rFonts w:hint="eastAsia" w:ascii="宋体" w:hAnsi="宋体" w:eastAsia="宋体" w:cs="宋体"/>
                <w:i w:val="0"/>
                <w:color w:val="000000"/>
                <w:kern w:val="0"/>
                <w:sz w:val="19"/>
                <w:szCs w:val="19"/>
                <w:u w:val="none"/>
                <w:lang w:val="en-US" w:eastAsia="zh-CN" w:bidi="ar"/>
              </w:rPr>
              <w:t xml:space="preserve"> </w:t>
            </w:r>
            <w:r>
              <w:rPr>
                <w:rStyle w:val="29"/>
                <w:lang w:val="en-US" w:eastAsia="zh-CN" w:bidi="ar"/>
              </w:rPr>
              <w:t>情</w:t>
            </w:r>
            <w:r>
              <w:rPr>
                <w:rFonts w:hint="eastAsia" w:ascii="宋体" w:hAnsi="宋体" w:eastAsia="宋体" w:cs="宋体"/>
                <w:i w:val="0"/>
                <w:color w:val="000000"/>
                <w:kern w:val="0"/>
                <w:sz w:val="19"/>
                <w:szCs w:val="19"/>
                <w:u w:val="none"/>
                <w:lang w:val="en-US" w:eastAsia="zh-CN" w:bidi="ar"/>
              </w:rPr>
              <w:t xml:space="preserve"> </w:t>
            </w:r>
            <w:r>
              <w:rPr>
                <w:rStyle w:val="29"/>
                <w:lang w:val="en-US" w:eastAsia="zh-CN" w:bidi="ar"/>
              </w:rPr>
              <w:t>况</w:t>
            </w:r>
          </w:p>
        </w:tc>
        <w:tc>
          <w:tcPr>
            <w:tcW w:w="44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overflowPunct/>
              <w:topLinePunct w:val="0"/>
              <w:bidi w:val="0"/>
              <w:spacing w:line="590" w:lineRule="exact"/>
              <w:jc w:val="center"/>
              <w:textAlignment w:val="center"/>
              <w:rPr>
                <w:rFonts w:hint="eastAsia" w:ascii="宋体" w:hAnsi="宋体" w:eastAsia="宋体" w:cs="宋体"/>
                <w:b/>
                <w:i w:val="0"/>
                <w:color w:val="000000"/>
                <w:sz w:val="19"/>
                <w:szCs w:val="19"/>
                <w:u w:val="none"/>
              </w:rPr>
            </w:pPr>
            <w:r>
              <w:rPr>
                <w:rFonts w:hint="eastAsia" w:ascii="宋体" w:hAnsi="宋体" w:eastAsia="宋体" w:cs="宋体"/>
                <w:b/>
                <w:i w:val="0"/>
                <w:color w:val="000000"/>
                <w:kern w:val="0"/>
                <w:sz w:val="19"/>
                <w:szCs w:val="19"/>
                <w:u w:val="none"/>
                <w:lang w:val="en-US" w:eastAsia="zh-CN" w:bidi="ar"/>
              </w:rPr>
              <w:t>需提交相关证明材料及考核办法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8"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1</w:t>
            </w:r>
          </w:p>
        </w:tc>
        <w:tc>
          <w:tcPr>
            <w:tcW w:w="22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医疗机构执业资格情况</w:t>
            </w:r>
          </w:p>
        </w:tc>
        <w:tc>
          <w:tcPr>
            <w:tcW w:w="5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left"/>
              <w:textAlignment w:val="center"/>
              <w:rPr>
                <w:rFonts w:hint="eastAsia" w:ascii="宋体" w:hAnsi="宋体" w:eastAsia="宋体" w:cs="宋体"/>
                <w:i w:val="0"/>
                <w:color w:val="000000"/>
                <w:sz w:val="19"/>
                <w:szCs w:val="19"/>
                <w:u w:val="none"/>
              </w:rPr>
            </w:pPr>
            <w:r>
              <w:rPr>
                <w:rFonts w:hint="eastAsia" w:ascii="宋体" w:hAnsi="宋体" w:eastAsia="宋体" w:cs="宋体"/>
                <w:snapToGrid w:val="0"/>
                <w:color w:val="000000"/>
                <w:spacing w:val="4"/>
                <w:kern w:val="0"/>
                <w:sz w:val="19"/>
                <w:szCs w:val="19"/>
                <w:highlight w:val="none"/>
                <w:lang w:val="en-US" w:eastAsia="zh-CN" w:bidi="ar-SA"/>
              </w:rPr>
              <w:t>符合卫生健康行政部门规定执业条件，依法取得有效《医疗机构执业许可证》，在注册地址正式经营至少3个月</w:t>
            </w:r>
          </w:p>
        </w:tc>
        <w:tc>
          <w:tcPr>
            <w:tcW w:w="17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□符合 □不符合</w:t>
            </w:r>
          </w:p>
        </w:tc>
        <w:tc>
          <w:tcPr>
            <w:tcW w:w="44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left"/>
              <w:textAlignment w:val="center"/>
              <w:rPr>
                <w:rFonts w:hint="eastAsia" w:ascii="宋体" w:hAnsi="宋体" w:eastAsia="宋体" w:cs="宋体"/>
                <w:snapToGrid w:val="0"/>
                <w:color w:val="000000"/>
                <w:spacing w:val="4"/>
                <w:kern w:val="0"/>
                <w:sz w:val="19"/>
                <w:szCs w:val="19"/>
                <w:highlight w:val="none"/>
                <w:lang w:val="en-US" w:eastAsia="zh-CN" w:bidi="ar-SA"/>
              </w:rPr>
            </w:pPr>
            <w:r>
              <w:rPr>
                <w:rFonts w:hint="eastAsia" w:ascii="宋体" w:hAnsi="宋体" w:eastAsia="宋体" w:cs="宋体"/>
                <w:snapToGrid w:val="0"/>
                <w:color w:val="000000"/>
                <w:spacing w:val="4"/>
                <w:kern w:val="0"/>
                <w:sz w:val="19"/>
                <w:szCs w:val="19"/>
                <w:highlight w:val="none"/>
                <w:lang w:val="en-US" w:eastAsia="zh-CN" w:bidi="ar-SA"/>
              </w:rPr>
              <w:t>《医疗机构执业许可证》复印件，若为营利性医疗机构，还需提供《营业执照》副本复印件，3个月以来的水电缴费、</w:t>
            </w:r>
          </w:p>
          <w:p>
            <w:pPr>
              <w:keepNext w:val="0"/>
              <w:keepLines w:val="0"/>
              <w:pageBreakBefore w:val="0"/>
              <w:widowControl/>
              <w:suppressLineNumbers w:val="0"/>
              <w:kinsoku/>
              <w:wordWrap/>
              <w:overflowPunct/>
              <w:topLinePunct w:val="0"/>
              <w:autoSpaceDE/>
              <w:autoSpaceDN/>
              <w:bidi w:val="0"/>
              <w:adjustRightInd/>
              <w:snapToGrid/>
              <w:spacing w:line="590" w:lineRule="exact"/>
              <w:jc w:val="left"/>
              <w:textAlignment w:val="center"/>
              <w:rPr>
                <w:rFonts w:hint="eastAsia" w:ascii="宋体" w:hAnsi="宋体" w:eastAsia="宋体" w:cs="宋体"/>
                <w:i w:val="0"/>
                <w:color w:val="000000"/>
                <w:sz w:val="19"/>
                <w:szCs w:val="19"/>
                <w:u w:val="none"/>
              </w:rPr>
            </w:pPr>
            <w:r>
              <w:rPr>
                <w:rFonts w:hint="eastAsia" w:ascii="宋体" w:hAnsi="宋体" w:eastAsia="宋体" w:cs="宋体"/>
                <w:snapToGrid w:val="0"/>
                <w:color w:val="000000"/>
                <w:spacing w:val="4"/>
                <w:kern w:val="0"/>
                <w:sz w:val="19"/>
                <w:szCs w:val="19"/>
                <w:highlight w:val="none"/>
                <w:lang w:val="en-US" w:eastAsia="zh-CN" w:bidi="ar-SA"/>
              </w:rPr>
              <w:t>人员工资发放流水等。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7"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2</w:t>
            </w:r>
          </w:p>
        </w:tc>
        <w:tc>
          <w:tcPr>
            <w:tcW w:w="22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相关配备情况</w:t>
            </w:r>
          </w:p>
        </w:tc>
        <w:tc>
          <w:tcPr>
            <w:tcW w:w="5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left"/>
              <w:textAlignment w:val="center"/>
              <w:rPr>
                <w:rFonts w:hint="eastAsia" w:ascii="宋体" w:hAnsi="宋体" w:eastAsia="宋体" w:cs="宋体"/>
                <w:i w:val="0"/>
                <w:color w:val="000000"/>
                <w:sz w:val="19"/>
                <w:szCs w:val="19"/>
                <w:u w:val="none"/>
              </w:rPr>
            </w:pPr>
            <w:r>
              <w:rPr>
                <w:rFonts w:hint="eastAsia" w:ascii="宋体" w:hAnsi="宋体" w:eastAsia="宋体" w:cs="宋体"/>
                <w:snapToGrid w:val="0"/>
                <w:color w:val="000000"/>
                <w:spacing w:val="4"/>
                <w:kern w:val="0"/>
                <w:sz w:val="19"/>
                <w:szCs w:val="19"/>
                <w:highlight w:val="none"/>
                <w:lang w:val="en-US" w:eastAsia="zh-CN" w:bidi="ar-SA"/>
              </w:rPr>
              <w:t>符合卫健等相关行政部门规定的执业条件，达到相应类别医疗机构建设基本标准</w:t>
            </w:r>
          </w:p>
        </w:tc>
        <w:tc>
          <w:tcPr>
            <w:tcW w:w="17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□符合 □不符合</w:t>
            </w:r>
          </w:p>
        </w:tc>
        <w:tc>
          <w:tcPr>
            <w:tcW w:w="44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left"/>
              <w:textAlignment w:val="center"/>
              <w:rPr>
                <w:rFonts w:hint="eastAsia" w:ascii="宋体" w:hAnsi="宋体" w:eastAsia="宋体" w:cs="宋体"/>
                <w:i w:val="0"/>
                <w:color w:val="000000"/>
                <w:sz w:val="19"/>
                <w:szCs w:val="19"/>
                <w:u w:val="none"/>
              </w:rPr>
            </w:pPr>
            <w:r>
              <w:rPr>
                <w:rFonts w:hint="eastAsia" w:ascii="宋体" w:hAnsi="宋体" w:eastAsia="宋体" w:cs="宋体"/>
                <w:snapToGrid w:val="0"/>
                <w:color w:val="000000"/>
                <w:spacing w:val="4"/>
                <w:kern w:val="0"/>
                <w:sz w:val="19"/>
                <w:szCs w:val="19"/>
                <w:highlight w:val="none"/>
                <w:lang w:val="en-US" w:eastAsia="zh-CN" w:bidi="ar-SA"/>
              </w:rPr>
              <w:t>《卫技人员花名册》，相关人员执业、职称证书，房屋产权及使用权证明材料等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6"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3</w:t>
            </w:r>
          </w:p>
        </w:tc>
        <w:tc>
          <w:tcPr>
            <w:tcW w:w="22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主营业务情况</w:t>
            </w:r>
          </w:p>
        </w:tc>
        <w:tc>
          <w:tcPr>
            <w:tcW w:w="5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left"/>
              <w:textAlignment w:val="center"/>
              <w:rPr>
                <w:rFonts w:hint="eastAsia" w:ascii="宋体" w:hAnsi="宋体" w:eastAsia="宋体" w:cs="宋体"/>
                <w:i w:val="0"/>
                <w:color w:val="000000"/>
                <w:sz w:val="19"/>
                <w:szCs w:val="19"/>
                <w:u w:val="none"/>
              </w:rPr>
            </w:pPr>
            <w:r>
              <w:rPr>
                <w:rFonts w:hint="eastAsia" w:ascii="宋体" w:hAnsi="宋体" w:eastAsia="宋体" w:cs="宋体"/>
                <w:snapToGrid w:val="0"/>
                <w:color w:val="000000"/>
                <w:spacing w:val="4"/>
                <w:kern w:val="0"/>
                <w:sz w:val="19"/>
                <w:szCs w:val="19"/>
                <w:highlight w:val="none"/>
                <w:lang w:val="en-US" w:eastAsia="zh-CN" w:bidi="ar-SA"/>
              </w:rPr>
              <w:t>主营业务按照执业许可证开展范围等，基本医疗服务执行医疗保障行政部门制定的医药价格政策</w:t>
            </w:r>
          </w:p>
        </w:tc>
        <w:tc>
          <w:tcPr>
            <w:tcW w:w="17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□符合 □不符合</w:t>
            </w:r>
          </w:p>
        </w:tc>
        <w:tc>
          <w:tcPr>
            <w:tcW w:w="44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left"/>
              <w:textAlignment w:val="center"/>
              <w:rPr>
                <w:rFonts w:hint="eastAsia" w:ascii="宋体" w:hAnsi="宋体" w:eastAsia="宋体" w:cs="宋体"/>
                <w:i w:val="0"/>
                <w:color w:val="000000"/>
                <w:sz w:val="19"/>
                <w:szCs w:val="19"/>
                <w:u w:val="none"/>
              </w:rPr>
            </w:pPr>
            <w:r>
              <w:rPr>
                <w:rFonts w:hint="eastAsia" w:ascii="宋体" w:hAnsi="宋体" w:eastAsia="宋体" w:cs="宋体"/>
                <w:snapToGrid w:val="0"/>
                <w:color w:val="000000"/>
                <w:spacing w:val="4"/>
                <w:kern w:val="0"/>
                <w:sz w:val="19"/>
                <w:szCs w:val="19"/>
                <w:highlight w:val="none"/>
                <w:lang w:val="en-US" w:eastAsia="zh-CN" w:bidi="ar-SA"/>
              </w:rPr>
              <w:t>各类医疗服务统计表，基本医疗服务价格标准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3"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4</w:t>
            </w:r>
          </w:p>
        </w:tc>
        <w:tc>
          <w:tcPr>
            <w:tcW w:w="22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财务制度管理</w:t>
            </w:r>
          </w:p>
        </w:tc>
        <w:tc>
          <w:tcPr>
            <w:tcW w:w="5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left"/>
              <w:textAlignment w:val="center"/>
              <w:rPr>
                <w:rFonts w:hint="eastAsia" w:ascii="宋体" w:hAnsi="宋体" w:eastAsia="宋体" w:cs="宋体"/>
                <w:i w:val="0"/>
                <w:color w:val="000000"/>
                <w:sz w:val="19"/>
                <w:szCs w:val="19"/>
                <w:u w:val="none"/>
              </w:rPr>
            </w:pPr>
            <w:r>
              <w:rPr>
                <w:rFonts w:hint="eastAsia" w:ascii="宋体" w:hAnsi="宋体" w:eastAsia="宋体" w:cs="宋体"/>
                <w:snapToGrid w:val="0"/>
                <w:color w:val="000000"/>
                <w:spacing w:val="4"/>
                <w:kern w:val="0"/>
                <w:sz w:val="19"/>
                <w:szCs w:val="19"/>
                <w:highlight w:val="none"/>
                <w:lang w:val="en-US" w:eastAsia="zh-CN" w:bidi="ar-SA"/>
              </w:rPr>
              <w:t>有完整的财务管理制度，配备专兼职财务管理人员，保存完整的会计凭证、账簿及财务报表</w:t>
            </w:r>
          </w:p>
        </w:tc>
        <w:tc>
          <w:tcPr>
            <w:tcW w:w="17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□符合 □不符合</w:t>
            </w:r>
          </w:p>
        </w:tc>
        <w:tc>
          <w:tcPr>
            <w:tcW w:w="44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left"/>
              <w:textAlignment w:val="center"/>
              <w:rPr>
                <w:rFonts w:hint="eastAsia" w:ascii="宋体" w:hAnsi="宋体" w:eastAsia="宋体" w:cs="宋体"/>
                <w:i w:val="0"/>
                <w:color w:val="000000"/>
                <w:sz w:val="19"/>
                <w:szCs w:val="19"/>
                <w:u w:val="none"/>
              </w:rPr>
            </w:pPr>
            <w:r>
              <w:rPr>
                <w:rFonts w:hint="eastAsia" w:ascii="宋体" w:hAnsi="宋体" w:eastAsia="宋体" w:cs="宋体"/>
                <w:snapToGrid w:val="0"/>
                <w:color w:val="000000"/>
                <w:spacing w:val="4"/>
                <w:kern w:val="0"/>
                <w:sz w:val="19"/>
                <w:szCs w:val="19"/>
                <w:highlight w:val="none"/>
                <w:lang w:val="en-US" w:eastAsia="zh-CN" w:bidi="ar-SA"/>
              </w:rPr>
              <w:t>财务管理制度、专职财务人员任职文件或聘任合同，查看会计凭证、账簿、财务报表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3"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5</w:t>
            </w:r>
          </w:p>
        </w:tc>
        <w:tc>
          <w:tcPr>
            <w:tcW w:w="22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信息化系统配备情况</w:t>
            </w:r>
          </w:p>
        </w:tc>
        <w:tc>
          <w:tcPr>
            <w:tcW w:w="5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left"/>
              <w:textAlignment w:val="center"/>
              <w:rPr>
                <w:rFonts w:hint="eastAsia" w:ascii="宋体" w:hAnsi="宋体" w:eastAsia="宋体" w:cs="宋体"/>
                <w:i w:val="0"/>
                <w:color w:val="000000"/>
                <w:sz w:val="19"/>
                <w:szCs w:val="19"/>
                <w:u w:val="none"/>
              </w:rPr>
            </w:pPr>
            <w:r>
              <w:rPr>
                <w:rFonts w:hint="eastAsia" w:ascii="宋体" w:hAnsi="宋体" w:eastAsia="宋体" w:cs="宋体"/>
                <w:snapToGrid w:val="0"/>
                <w:color w:val="000000"/>
                <w:spacing w:val="4"/>
                <w:kern w:val="0"/>
                <w:sz w:val="19"/>
                <w:szCs w:val="19"/>
                <w:highlight w:val="none"/>
                <w:lang w:val="en-US" w:eastAsia="zh-CN" w:bidi="ar-SA"/>
              </w:rPr>
              <w:t>配备完善的药品、医用材料等“进销存 ”管理系统。配备符合医疗保险联网结算和智能监控要求的计算机管理系统。</w:t>
            </w:r>
          </w:p>
        </w:tc>
        <w:tc>
          <w:tcPr>
            <w:tcW w:w="17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□符合 □不符合</w:t>
            </w:r>
          </w:p>
        </w:tc>
        <w:tc>
          <w:tcPr>
            <w:tcW w:w="44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left"/>
              <w:textAlignment w:val="center"/>
              <w:rPr>
                <w:rFonts w:hint="eastAsia" w:ascii="宋体" w:hAnsi="宋体" w:eastAsia="宋体" w:cs="宋体"/>
                <w:i w:val="0"/>
                <w:color w:val="000000"/>
                <w:sz w:val="19"/>
                <w:szCs w:val="19"/>
                <w:u w:val="none"/>
              </w:rPr>
            </w:pPr>
            <w:r>
              <w:rPr>
                <w:rFonts w:hint="eastAsia" w:ascii="宋体" w:hAnsi="宋体" w:eastAsia="宋体" w:cs="宋体"/>
                <w:snapToGrid w:val="0"/>
                <w:color w:val="000000"/>
                <w:spacing w:val="4"/>
                <w:kern w:val="0"/>
                <w:sz w:val="19"/>
                <w:szCs w:val="19"/>
                <w:highlight w:val="none"/>
                <w:lang w:val="en-US" w:eastAsia="zh-CN" w:bidi="ar-SA"/>
              </w:rPr>
              <w:t>提供系统界面截图，其中、药品耗材查询、购进（配送）、使用、存量等环节截图不少于5张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28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ordWrap/>
              <w:overflowPunct/>
              <w:topLinePunct w:val="0"/>
              <w:bidi w:val="0"/>
              <w:spacing w:line="590" w:lineRule="exact"/>
              <w:jc w:val="center"/>
              <w:rPr>
                <w:rFonts w:hint="default" w:ascii="Arial" w:hAnsi="Arial" w:eastAsia="宋体" w:cs="Arial"/>
                <w:i w:val="0"/>
                <w:color w:val="000000"/>
                <w:sz w:val="21"/>
                <w:szCs w:val="21"/>
                <w:u w:val="none"/>
              </w:rPr>
            </w:pPr>
          </w:p>
        </w:tc>
        <w:tc>
          <w:tcPr>
            <w:tcW w:w="1131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overflowPunct/>
              <w:topLinePunct w:val="0"/>
              <w:bidi w:val="0"/>
              <w:spacing w:line="590" w:lineRule="exact"/>
              <w:jc w:val="center"/>
              <w:textAlignment w:val="center"/>
              <w:rPr>
                <w:rFonts w:hint="eastAsia" w:ascii="黑体" w:hAnsi="宋体" w:eastAsia="黑体" w:cs="黑体"/>
                <w:i w:val="0"/>
                <w:color w:val="000000"/>
                <w:sz w:val="27"/>
                <w:szCs w:val="27"/>
                <w:u w:val="none"/>
              </w:rPr>
            </w:pPr>
            <w:r>
              <w:rPr>
                <w:rFonts w:hint="eastAsia" w:ascii="黑体" w:hAnsi="宋体" w:eastAsia="黑体" w:cs="黑体"/>
                <w:i w:val="0"/>
                <w:color w:val="000000"/>
                <w:kern w:val="0"/>
                <w:sz w:val="27"/>
                <w:szCs w:val="27"/>
                <w:u w:val="none"/>
                <w:lang w:val="en-US" w:eastAsia="zh-CN" w:bidi="ar"/>
              </w:rPr>
              <w:t>评</w:t>
            </w:r>
            <w:r>
              <w:rPr>
                <w:rStyle w:val="28"/>
                <w:lang w:val="en-US" w:eastAsia="zh-CN" w:bidi="ar"/>
              </w:rPr>
              <w:t xml:space="preserve"> 分 项 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overflowPunct/>
              <w:topLinePunct w:val="0"/>
              <w:bidi w:val="0"/>
              <w:spacing w:line="590" w:lineRule="exact"/>
              <w:jc w:val="center"/>
              <w:textAlignment w:val="center"/>
              <w:rPr>
                <w:rFonts w:hint="eastAsia" w:ascii="宋体" w:hAnsi="宋体" w:eastAsia="宋体" w:cs="宋体"/>
                <w:b/>
                <w:i w:val="0"/>
                <w:color w:val="000000"/>
                <w:sz w:val="19"/>
                <w:szCs w:val="19"/>
                <w:u w:val="none"/>
              </w:rPr>
            </w:pPr>
            <w:r>
              <w:rPr>
                <w:rFonts w:hint="eastAsia" w:ascii="宋体" w:hAnsi="宋体" w:eastAsia="宋体" w:cs="宋体"/>
                <w:b/>
                <w:i w:val="0"/>
                <w:color w:val="000000"/>
                <w:kern w:val="0"/>
                <w:sz w:val="19"/>
                <w:szCs w:val="19"/>
                <w:u w:val="none"/>
                <w:lang w:val="en-US" w:eastAsia="zh-CN" w:bidi="ar"/>
              </w:rPr>
              <w:t>序号</w:t>
            </w:r>
          </w:p>
        </w:tc>
        <w:tc>
          <w:tcPr>
            <w:tcW w:w="22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overflowPunct/>
              <w:topLinePunct w:val="0"/>
              <w:bidi w:val="0"/>
              <w:spacing w:line="590" w:lineRule="exact"/>
              <w:jc w:val="center"/>
              <w:textAlignment w:val="center"/>
              <w:rPr>
                <w:rFonts w:hint="eastAsia" w:ascii="宋体" w:hAnsi="宋体" w:eastAsia="宋体" w:cs="宋体"/>
                <w:b/>
                <w:i w:val="0"/>
                <w:color w:val="000000"/>
                <w:sz w:val="19"/>
                <w:szCs w:val="19"/>
                <w:u w:val="none"/>
              </w:rPr>
            </w:pPr>
            <w:r>
              <w:rPr>
                <w:rFonts w:hint="eastAsia" w:ascii="宋体" w:hAnsi="宋体" w:eastAsia="宋体" w:cs="宋体"/>
                <w:b/>
                <w:i w:val="0"/>
                <w:color w:val="000000"/>
                <w:kern w:val="0"/>
                <w:sz w:val="19"/>
                <w:szCs w:val="19"/>
                <w:u w:val="none"/>
                <w:lang w:val="en-US" w:eastAsia="zh-CN" w:bidi="ar"/>
              </w:rPr>
              <w:t>评分项目</w:t>
            </w:r>
          </w:p>
        </w:tc>
        <w:tc>
          <w:tcPr>
            <w:tcW w:w="5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overflowPunct/>
              <w:topLinePunct w:val="0"/>
              <w:bidi w:val="0"/>
              <w:spacing w:line="590" w:lineRule="exact"/>
              <w:jc w:val="center"/>
              <w:textAlignment w:val="center"/>
              <w:rPr>
                <w:rFonts w:hint="eastAsia" w:ascii="宋体" w:hAnsi="宋体" w:eastAsia="宋体" w:cs="宋体"/>
                <w:b/>
                <w:i w:val="0"/>
                <w:color w:val="000000"/>
                <w:sz w:val="19"/>
                <w:szCs w:val="19"/>
                <w:u w:val="none"/>
              </w:rPr>
            </w:pPr>
            <w:r>
              <w:rPr>
                <w:rFonts w:hint="eastAsia" w:ascii="宋体" w:hAnsi="宋体" w:eastAsia="宋体" w:cs="宋体"/>
                <w:b/>
                <w:i w:val="0"/>
                <w:color w:val="000000"/>
                <w:kern w:val="0"/>
                <w:sz w:val="19"/>
                <w:szCs w:val="19"/>
                <w:u w:val="none"/>
                <w:lang w:val="en-US" w:eastAsia="zh-CN" w:bidi="ar"/>
              </w:rPr>
              <w:t>评分标准</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overflowPunct/>
              <w:topLinePunct w:val="0"/>
              <w:bidi w:val="0"/>
              <w:spacing w:line="590" w:lineRule="exact"/>
              <w:jc w:val="center"/>
              <w:textAlignment w:val="center"/>
              <w:rPr>
                <w:rFonts w:hint="eastAsia" w:ascii="宋体" w:hAnsi="宋体" w:eastAsia="宋体" w:cs="宋体"/>
                <w:b/>
                <w:i w:val="0"/>
                <w:color w:val="000000"/>
                <w:sz w:val="19"/>
                <w:szCs w:val="19"/>
                <w:u w:val="none"/>
              </w:rPr>
            </w:pPr>
            <w:r>
              <w:rPr>
                <w:rFonts w:hint="eastAsia" w:ascii="宋体" w:hAnsi="宋体" w:eastAsia="宋体" w:cs="宋体"/>
                <w:b/>
                <w:i w:val="0"/>
                <w:color w:val="000000"/>
                <w:kern w:val="0"/>
                <w:sz w:val="19"/>
                <w:szCs w:val="19"/>
                <w:u w:val="none"/>
                <w:lang w:val="en-US" w:eastAsia="zh-CN" w:bidi="ar"/>
              </w:rPr>
              <w:t>分值</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overflowPunct/>
              <w:topLinePunct w:val="0"/>
              <w:bidi w:val="0"/>
              <w:spacing w:line="590" w:lineRule="exact"/>
              <w:jc w:val="center"/>
              <w:textAlignment w:val="center"/>
              <w:rPr>
                <w:rFonts w:hint="eastAsia" w:ascii="宋体" w:hAnsi="宋体" w:eastAsia="宋体" w:cs="宋体"/>
                <w:b/>
                <w:i w:val="0"/>
                <w:color w:val="000000"/>
                <w:sz w:val="19"/>
                <w:szCs w:val="19"/>
                <w:u w:val="none"/>
              </w:rPr>
            </w:pPr>
            <w:r>
              <w:rPr>
                <w:rFonts w:hint="eastAsia" w:ascii="宋体" w:hAnsi="宋体" w:eastAsia="宋体" w:cs="宋体"/>
                <w:b/>
                <w:i w:val="0"/>
                <w:color w:val="000000"/>
                <w:kern w:val="0"/>
                <w:sz w:val="19"/>
                <w:szCs w:val="19"/>
                <w:u w:val="none"/>
                <w:lang w:val="en-US" w:eastAsia="zh-CN" w:bidi="ar"/>
              </w:rPr>
              <w:t>得分</w:t>
            </w:r>
          </w:p>
        </w:tc>
        <w:tc>
          <w:tcPr>
            <w:tcW w:w="44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overflowPunct/>
              <w:topLinePunct w:val="0"/>
              <w:bidi w:val="0"/>
              <w:spacing w:line="590" w:lineRule="exact"/>
              <w:jc w:val="center"/>
              <w:textAlignment w:val="center"/>
              <w:rPr>
                <w:rFonts w:hint="eastAsia" w:ascii="宋体" w:hAnsi="宋体" w:eastAsia="宋体" w:cs="宋体"/>
                <w:b/>
                <w:i w:val="0"/>
                <w:color w:val="000000"/>
                <w:sz w:val="19"/>
                <w:szCs w:val="19"/>
                <w:u w:val="none"/>
              </w:rPr>
            </w:pPr>
            <w:r>
              <w:rPr>
                <w:rFonts w:hint="eastAsia" w:ascii="宋体" w:hAnsi="宋体" w:eastAsia="宋体" w:cs="宋体"/>
                <w:b/>
                <w:i w:val="0"/>
                <w:color w:val="000000"/>
                <w:kern w:val="0"/>
                <w:sz w:val="19"/>
                <w:szCs w:val="19"/>
                <w:u w:val="none"/>
                <w:lang w:val="en-US" w:eastAsia="zh-CN" w:bidi="ar"/>
              </w:rPr>
              <w:t>需提交相关证明材料及考核办法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1</w:t>
            </w:r>
          </w:p>
        </w:tc>
        <w:tc>
          <w:tcPr>
            <w:tcW w:w="22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第一执业地点注册于该医疗机构的医师数量</w:t>
            </w:r>
          </w:p>
        </w:tc>
        <w:tc>
          <w:tcPr>
            <w:tcW w:w="5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left"/>
              <w:textAlignment w:val="center"/>
              <w:rPr>
                <w:rFonts w:hint="eastAsia" w:ascii="宋体" w:hAnsi="宋体" w:eastAsia="宋体" w:cs="宋体"/>
                <w:i w:val="0"/>
                <w:color w:val="000000"/>
                <w:sz w:val="19"/>
                <w:szCs w:val="19"/>
                <w:u w:val="none"/>
              </w:rPr>
            </w:pPr>
            <w:r>
              <w:rPr>
                <w:rFonts w:hint="eastAsia" w:ascii="宋体" w:hAnsi="宋体" w:eastAsia="宋体" w:cs="宋体"/>
                <w:snapToGrid w:val="0"/>
                <w:color w:val="000000"/>
                <w:spacing w:val="4"/>
                <w:kern w:val="0"/>
                <w:sz w:val="19"/>
                <w:szCs w:val="19"/>
                <w:highlight w:val="none"/>
                <w:lang w:val="en-US" w:eastAsia="zh-CN" w:bidi="ar-SA"/>
              </w:rPr>
              <w:t>达到相应类别医疗机构标准医师配备数量得6分，每增加1名高级职称加2分，中级职称加1分，最高得10分</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10</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90" w:lineRule="exact"/>
              <w:jc w:val="center"/>
              <w:rPr>
                <w:rFonts w:hint="eastAsia" w:ascii="宋体" w:hAnsi="宋体" w:eastAsia="宋体" w:cs="宋体"/>
                <w:i w:val="0"/>
                <w:color w:val="000000"/>
                <w:sz w:val="19"/>
                <w:szCs w:val="19"/>
                <w:u w:val="none"/>
              </w:rPr>
            </w:pPr>
          </w:p>
        </w:tc>
        <w:tc>
          <w:tcPr>
            <w:tcW w:w="44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left"/>
              <w:textAlignment w:val="center"/>
              <w:rPr>
                <w:rFonts w:hint="eastAsia" w:ascii="宋体" w:hAnsi="宋体" w:eastAsia="宋体" w:cs="宋体"/>
                <w:i w:val="0"/>
                <w:color w:val="000000"/>
                <w:sz w:val="19"/>
                <w:szCs w:val="19"/>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6"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2</w:t>
            </w:r>
          </w:p>
        </w:tc>
        <w:tc>
          <w:tcPr>
            <w:tcW w:w="22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第一执业地点注册于该医疗机构的全科医师数量</w:t>
            </w:r>
          </w:p>
        </w:tc>
        <w:tc>
          <w:tcPr>
            <w:tcW w:w="5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left"/>
              <w:textAlignment w:val="center"/>
              <w:rPr>
                <w:rFonts w:hint="eastAsia" w:ascii="宋体" w:hAnsi="宋体" w:eastAsia="宋体" w:cs="宋体"/>
                <w:i w:val="0"/>
                <w:color w:val="000000"/>
                <w:sz w:val="19"/>
                <w:szCs w:val="19"/>
                <w:u w:val="none"/>
              </w:rPr>
            </w:pPr>
            <w:r>
              <w:rPr>
                <w:rFonts w:hint="eastAsia" w:ascii="宋体" w:hAnsi="宋体" w:eastAsia="宋体" w:cs="宋体"/>
                <w:snapToGrid w:val="0"/>
                <w:color w:val="000000"/>
                <w:spacing w:val="4"/>
                <w:kern w:val="0"/>
                <w:sz w:val="19"/>
                <w:szCs w:val="19"/>
                <w:highlight w:val="none"/>
                <w:lang w:val="en-US" w:eastAsia="zh-CN" w:bidi="ar-SA"/>
              </w:rPr>
              <w:t>第一执业地点注册于该医疗机构的全科医师数量占总医师数量50%以上（含）得3分，每提高10个百分点，加1分，最高得分5分</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90" w:lineRule="exact"/>
              <w:jc w:val="center"/>
              <w:rPr>
                <w:rFonts w:hint="eastAsia" w:ascii="宋体" w:hAnsi="宋体" w:eastAsia="宋体" w:cs="宋体"/>
                <w:i w:val="0"/>
                <w:color w:val="000000"/>
                <w:sz w:val="19"/>
                <w:szCs w:val="19"/>
                <w:u w:val="none"/>
                <w:lang w:val="en-US" w:eastAsia="zh-CN"/>
              </w:rPr>
            </w:pPr>
            <w:r>
              <w:rPr>
                <w:rFonts w:hint="eastAsia" w:ascii="宋体" w:hAnsi="宋体" w:cs="宋体"/>
                <w:i w:val="0"/>
                <w:color w:val="000000"/>
                <w:sz w:val="19"/>
                <w:szCs w:val="19"/>
                <w:u w:val="none"/>
                <w:lang w:val="en-US" w:eastAsia="zh-CN"/>
              </w:rPr>
              <w:t>5</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90" w:lineRule="exact"/>
              <w:jc w:val="center"/>
              <w:rPr>
                <w:rFonts w:hint="eastAsia" w:ascii="宋体" w:hAnsi="宋体" w:eastAsia="宋体" w:cs="宋体"/>
                <w:i w:val="0"/>
                <w:color w:val="000000"/>
                <w:sz w:val="19"/>
                <w:szCs w:val="19"/>
                <w:u w:val="none"/>
              </w:rPr>
            </w:pPr>
          </w:p>
        </w:tc>
        <w:tc>
          <w:tcPr>
            <w:tcW w:w="44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left"/>
              <w:textAlignment w:val="center"/>
              <w:rPr>
                <w:rFonts w:hint="eastAsia" w:ascii="宋体" w:hAnsi="宋体" w:eastAsia="宋体" w:cs="宋体"/>
                <w:snapToGrid w:val="0"/>
                <w:color w:val="000000"/>
                <w:spacing w:val="4"/>
                <w:kern w:val="0"/>
                <w:sz w:val="19"/>
                <w:szCs w:val="19"/>
                <w:highlight w:val="none"/>
                <w:lang w:val="en-US" w:eastAsia="zh-CN" w:bidi="ar-SA"/>
              </w:rPr>
            </w:pPr>
            <w:r>
              <w:rPr>
                <w:rFonts w:hint="eastAsia" w:ascii="宋体" w:hAnsi="宋体" w:eastAsia="宋体" w:cs="宋体"/>
                <w:snapToGrid w:val="0"/>
                <w:color w:val="000000"/>
                <w:spacing w:val="4"/>
                <w:kern w:val="0"/>
                <w:sz w:val="19"/>
                <w:szCs w:val="19"/>
                <w:highlight w:val="none"/>
                <w:lang w:val="en-US" w:eastAsia="zh-CN" w:bidi="ar-SA"/>
              </w:rPr>
              <w:t>《医师信息登记表》及相关资格证、注册证和专业技术证复</w:t>
            </w:r>
          </w:p>
          <w:p>
            <w:pPr>
              <w:keepNext w:val="0"/>
              <w:keepLines w:val="0"/>
              <w:pageBreakBefore w:val="0"/>
              <w:widowControl/>
              <w:suppressLineNumbers w:val="0"/>
              <w:kinsoku/>
              <w:wordWrap/>
              <w:overflowPunct/>
              <w:topLinePunct w:val="0"/>
              <w:autoSpaceDE/>
              <w:autoSpaceDN/>
              <w:bidi w:val="0"/>
              <w:adjustRightInd/>
              <w:snapToGrid/>
              <w:spacing w:line="590" w:lineRule="exact"/>
              <w:jc w:val="left"/>
              <w:textAlignment w:val="center"/>
              <w:rPr>
                <w:rFonts w:hint="eastAsia" w:ascii="宋体" w:hAnsi="宋体" w:eastAsia="宋体" w:cs="宋体"/>
                <w:i w:val="0"/>
                <w:color w:val="000000"/>
                <w:sz w:val="19"/>
                <w:szCs w:val="19"/>
                <w:u w:val="none"/>
              </w:rPr>
            </w:pPr>
            <w:r>
              <w:rPr>
                <w:rFonts w:hint="eastAsia" w:ascii="宋体" w:hAnsi="宋体" w:eastAsia="宋体" w:cs="宋体"/>
                <w:snapToGrid w:val="0"/>
                <w:color w:val="000000"/>
                <w:spacing w:val="4"/>
                <w:kern w:val="0"/>
                <w:sz w:val="19"/>
                <w:szCs w:val="19"/>
                <w:highlight w:val="none"/>
                <w:lang w:val="en-US" w:eastAsia="zh-CN" w:bidi="ar-SA"/>
              </w:rPr>
              <w:t>印件，配比占比台账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6"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3</w:t>
            </w:r>
          </w:p>
        </w:tc>
        <w:tc>
          <w:tcPr>
            <w:tcW w:w="22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注册执业于该医疗机构的护师（士）数量</w:t>
            </w:r>
          </w:p>
        </w:tc>
        <w:tc>
          <w:tcPr>
            <w:tcW w:w="5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left"/>
              <w:textAlignment w:val="center"/>
              <w:rPr>
                <w:rFonts w:hint="eastAsia" w:ascii="宋体" w:hAnsi="宋体" w:eastAsia="宋体" w:cs="宋体"/>
                <w:i w:val="0"/>
                <w:color w:val="000000"/>
                <w:sz w:val="19"/>
                <w:szCs w:val="19"/>
                <w:u w:val="none"/>
              </w:rPr>
            </w:pPr>
            <w:r>
              <w:rPr>
                <w:rFonts w:hint="eastAsia" w:ascii="宋体" w:hAnsi="宋体" w:eastAsia="宋体" w:cs="宋体"/>
                <w:snapToGrid w:val="0"/>
                <w:color w:val="000000"/>
                <w:spacing w:val="4"/>
                <w:kern w:val="0"/>
                <w:sz w:val="19"/>
                <w:szCs w:val="19"/>
                <w:highlight w:val="none"/>
                <w:lang w:val="en-US" w:eastAsia="zh-CN" w:bidi="ar-SA"/>
              </w:rPr>
              <w:t>达到相应类别医疗机构标准护（师）士配备数量得6分，每增加1名高级职称加2分，中级职称加1分，最高得10分</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10</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90" w:lineRule="exact"/>
              <w:jc w:val="center"/>
              <w:rPr>
                <w:rFonts w:hint="eastAsia" w:ascii="宋体" w:hAnsi="宋体" w:eastAsia="宋体" w:cs="宋体"/>
                <w:i w:val="0"/>
                <w:color w:val="000000"/>
                <w:sz w:val="19"/>
                <w:szCs w:val="19"/>
                <w:u w:val="none"/>
              </w:rPr>
            </w:pPr>
          </w:p>
        </w:tc>
        <w:tc>
          <w:tcPr>
            <w:tcW w:w="44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left"/>
              <w:textAlignment w:val="center"/>
              <w:rPr>
                <w:rFonts w:hint="eastAsia" w:ascii="宋体" w:hAnsi="宋体" w:eastAsia="宋体" w:cs="宋体"/>
                <w:i w:val="0"/>
                <w:color w:val="000000"/>
                <w:sz w:val="19"/>
                <w:szCs w:val="19"/>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3"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4</w:t>
            </w:r>
          </w:p>
        </w:tc>
        <w:tc>
          <w:tcPr>
            <w:tcW w:w="22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医疗设备配置数量</w:t>
            </w:r>
          </w:p>
        </w:tc>
        <w:tc>
          <w:tcPr>
            <w:tcW w:w="5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left"/>
              <w:textAlignment w:val="center"/>
              <w:rPr>
                <w:rFonts w:hint="eastAsia" w:ascii="宋体" w:hAnsi="宋体" w:eastAsia="宋体" w:cs="宋体"/>
                <w:i w:val="0"/>
                <w:color w:val="000000"/>
                <w:sz w:val="19"/>
                <w:szCs w:val="19"/>
                <w:u w:val="none"/>
              </w:rPr>
            </w:pPr>
            <w:r>
              <w:rPr>
                <w:rFonts w:hint="eastAsia" w:ascii="宋体" w:hAnsi="宋体" w:eastAsia="宋体" w:cs="宋体"/>
                <w:snapToGrid w:val="0"/>
                <w:color w:val="000000"/>
                <w:spacing w:val="4"/>
                <w:kern w:val="0"/>
                <w:sz w:val="19"/>
                <w:szCs w:val="19"/>
                <w:highlight w:val="none"/>
                <w:lang w:val="en-US" w:eastAsia="zh-CN" w:bidi="ar-SA"/>
              </w:rPr>
              <w:t>达到相应类别医疗机构标准设备配置数量得8分，每增加1套万元以上设备加1分，最高得10分</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10</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90" w:lineRule="exact"/>
              <w:jc w:val="center"/>
              <w:rPr>
                <w:rFonts w:hint="eastAsia" w:ascii="宋体" w:hAnsi="宋体" w:eastAsia="宋体" w:cs="宋体"/>
                <w:i w:val="0"/>
                <w:color w:val="000000"/>
                <w:sz w:val="19"/>
                <w:szCs w:val="19"/>
                <w:u w:val="none"/>
              </w:rPr>
            </w:pPr>
          </w:p>
        </w:tc>
        <w:tc>
          <w:tcPr>
            <w:tcW w:w="44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left"/>
              <w:textAlignment w:val="center"/>
              <w:rPr>
                <w:rFonts w:hint="eastAsia" w:ascii="宋体" w:hAnsi="宋体" w:eastAsia="宋体" w:cs="宋体"/>
                <w:i w:val="0"/>
                <w:color w:val="000000"/>
                <w:sz w:val="19"/>
                <w:szCs w:val="19"/>
                <w:u w:val="none"/>
              </w:rPr>
            </w:pPr>
            <w:r>
              <w:rPr>
                <w:rFonts w:hint="eastAsia" w:ascii="宋体" w:hAnsi="宋体" w:eastAsia="宋体" w:cs="宋体"/>
                <w:snapToGrid w:val="0"/>
                <w:color w:val="000000"/>
                <w:spacing w:val="4"/>
                <w:kern w:val="0"/>
                <w:sz w:val="19"/>
                <w:szCs w:val="19"/>
                <w:highlight w:val="none"/>
                <w:lang w:val="en-US" w:eastAsia="zh-CN" w:bidi="ar-SA"/>
              </w:rPr>
              <w:t>《医用设备清单》，提供大型设备发票复印件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3"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5</w:t>
            </w:r>
          </w:p>
        </w:tc>
        <w:tc>
          <w:tcPr>
            <w:tcW w:w="22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药品、耗材“进销存 ”管理</w:t>
            </w:r>
          </w:p>
        </w:tc>
        <w:tc>
          <w:tcPr>
            <w:tcW w:w="5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left"/>
              <w:textAlignment w:val="center"/>
              <w:rPr>
                <w:rFonts w:hint="eastAsia" w:ascii="宋体" w:hAnsi="宋体" w:eastAsia="宋体" w:cs="宋体"/>
                <w:i w:val="0"/>
                <w:color w:val="000000"/>
                <w:sz w:val="19"/>
                <w:szCs w:val="19"/>
                <w:u w:val="none"/>
              </w:rPr>
            </w:pPr>
            <w:r>
              <w:rPr>
                <w:rFonts w:hint="eastAsia" w:ascii="宋体" w:hAnsi="宋体" w:eastAsia="宋体" w:cs="宋体"/>
                <w:snapToGrid w:val="0"/>
                <w:color w:val="000000"/>
                <w:spacing w:val="4"/>
                <w:kern w:val="0"/>
                <w:sz w:val="19"/>
                <w:szCs w:val="19"/>
                <w:highlight w:val="none"/>
                <w:lang w:val="en-US" w:eastAsia="zh-CN" w:bidi="ar-SA"/>
              </w:rPr>
              <w:t>有“进销存 ”台账得3分，有购进药品、耗材合法票据得3分，进销存管理清晰，票据、台账与实际库存相符得4分</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10</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90" w:lineRule="exact"/>
              <w:jc w:val="center"/>
              <w:rPr>
                <w:rFonts w:hint="eastAsia" w:ascii="宋体" w:hAnsi="宋体" w:eastAsia="宋体" w:cs="宋体"/>
                <w:i w:val="0"/>
                <w:color w:val="000000"/>
                <w:sz w:val="19"/>
                <w:szCs w:val="19"/>
                <w:u w:val="none"/>
              </w:rPr>
            </w:pPr>
          </w:p>
        </w:tc>
        <w:tc>
          <w:tcPr>
            <w:tcW w:w="44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left"/>
              <w:textAlignment w:val="center"/>
              <w:rPr>
                <w:rFonts w:hint="eastAsia" w:ascii="宋体" w:hAnsi="宋体" w:eastAsia="宋体" w:cs="宋体"/>
                <w:i w:val="0"/>
                <w:color w:val="000000"/>
                <w:sz w:val="19"/>
                <w:szCs w:val="19"/>
                <w:u w:val="none"/>
              </w:rPr>
            </w:pPr>
            <w:r>
              <w:rPr>
                <w:rFonts w:hint="eastAsia" w:ascii="宋体" w:hAnsi="宋体" w:eastAsia="宋体" w:cs="宋体"/>
                <w:snapToGrid w:val="0"/>
                <w:color w:val="000000"/>
                <w:spacing w:val="4"/>
                <w:kern w:val="0"/>
                <w:sz w:val="19"/>
                <w:szCs w:val="19"/>
                <w:highlight w:val="none"/>
                <w:lang w:val="en-US" w:eastAsia="zh-CN" w:bidi="ar-SA"/>
              </w:rPr>
              <w:t>近半年（正式运营不满半年的，以正式运营时间为准）“进销存 ”系统导出进销存台账；购进药品、耗材合法票据的复印件及清单；现场查看情况、熟练操作情况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5"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6</w:t>
            </w:r>
          </w:p>
        </w:tc>
        <w:tc>
          <w:tcPr>
            <w:tcW w:w="22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信息系统管理</w:t>
            </w:r>
          </w:p>
        </w:tc>
        <w:tc>
          <w:tcPr>
            <w:tcW w:w="5109"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4"/>
              <w:keepNext w:val="0"/>
              <w:keepLines w:val="0"/>
              <w:pageBreakBefore w:val="0"/>
              <w:kinsoku/>
              <w:wordWrap/>
              <w:overflowPunct/>
              <w:topLinePunct w:val="0"/>
              <w:autoSpaceDE/>
              <w:autoSpaceDN/>
              <w:bidi w:val="0"/>
              <w:adjustRightInd/>
              <w:snapToGrid/>
              <w:spacing w:line="590" w:lineRule="exact"/>
              <w:jc w:val="left"/>
              <w:rPr>
                <w:rFonts w:hint="eastAsia" w:ascii="宋体" w:hAnsi="宋体" w:eastAsia="宋体" w:cs="宋体"/>
                <w:i w:val="0"/>
                <w:color w:val="000000"/>
                <w:sz w:val="19"/>
                <w:szCs w:val="19"/>
                <w:u w:val="none"/>
              </w:rPr>
            </w:pPr>
            <w:r>
              <w:rPr>
                <w:rFonts w:hint="eastAsia" w:ascii="宋体" w:hAnsi="宋体" w:eastAsia="宋体" w:cs="宋体"/>
                <w:snapToGrid w:val="0"/>
                <w:color w:val="000000"/>
                <w:spacing w:val="4"/>
                <w:kern w:val="0"/>
                <w:sz w:val="19"/>
                <w:szCs w:val="19"/>
                <w:highlight w:val="none"/>
                <w:lang w:val="en-US" w:eastAsia="zh-CN" w:bidi="ar-SA"/>
              </w:rPr>
              <w:t>正常使用符合医疗保险联网结算和智能监控要求的计算机管理系统，有相应的操作和管理人员，信息系统与医保系统完全直接</w:t>
            </w:r>
            <w:r>
              <w:rPr>
                <w:rFonts w:hint="eastAsia" w:ascii="宋体" w:hAnsi="宋体" w:eastAsia="宋体" w:cs="宋体"/>
                <w:snapToGrid w:val="0"/>
                <w:color w:val="auto"/>
                <w:spacing w:val="4"/>
                <w:kern w:val="0"/>
                <w:sz w:val="19"/>
                <w:szCs w:val="19"/>
                <w:highlight w:val="none"/>
                <w:lang w:val="en-US" w:eastAsia="zh-CN" w:bidi="ar-SA"/>
              </w:rPr>
              <w:t>对接、联网并实时上传相关原始数据并保证真实完整得5分；具备并能够正常使用符合国家药品追溯管理要求的扫码核验与数据上传系统得5分</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10</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90" w:lineRule="exact"/>
              <w:jc w:val="center"/>
              <w:rPr>
                <w:rFonts w:hint="eastAsia" w:ascii="宋体" w:hAnsi="宋体" w:eastAsia="宋体" w:cs="宋体"/>
                <w:i w:val="0"/>
                <w:color w:val="000000"/>
                <w:sz w:val="19"/>
                <w:szCs w:val="19"/>
                <w:u w:val="none"/>
              </w:rPr>
            </w:pPr>
          </w:p>
        </w:tc>
        <w:tc>
          <w:tcPr>
            <w:tcW w:w="44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left"/>
              <w:textAlignment w:val="center"/>
              <w:rPr>
                <w:rFonts w:hint="eastAsia" w:ascii="宋体" w:hAnsi="宋体" w:eastAsia="宋体" w:cs="宋体"/>
                <w:i w:val="0"/>
                <w:color w:val="000000"/>
                <w:sz w:val="19"/>
                <w:szCs w:val="19"/>
                <w:u w:val="none"/>
              </w:rPr>
            </w:pPr>
            <w:r>
              <w:rPr>
                <w:rFonts w:hint="eastAsia" w:ascii="宋体" w:hAnsi="宋体" w:eastAsia="宋体" w:cs="宋体"/>
                <w:snapToGrid w:val="0"/>
                <w:color w:val="000000"/>
                <w:spacing w:val="4"/>
                <w:kern w:val="0"/>
                <w:sz w:val="19"/>
                <w:szCs w:val="19"/>
                <w:highlight w:val="none"/>
                <w:lang w:val="en-US" w:eastAsia="zh-CN" w:bidi="ar-SA"/>
              </w:rPr>
              <w:t>操作和管理人员任职文件、提供系统界面截图不少于5张，现场查看情况、熟练操作情况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7</w:t>
            </w:r>
          </w:p>
        </w:tc>
        <w:tc>
          <w:tcPr>
            <w:tcW w:w="22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配备的基本医疗保险药品种类数量</w:t>
            </w:r>
          </w:p>
        </w:tc>
        <w:tc>
          <w:tcPr>
            <w:tcW w:w="5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left"/>
              <w:textAlignment w:val="center"/>
              <w:rPr>
                <w:rFonts w:hint="eastAsia" w:ascii="宋体" w:hAnsi="宋体" w:eastAsia="宋体" w:cs="宋体"/>
                <w:i w:val="0"/>
                <w:color w:val="000000"/>
                <w:sz w:val="19"/>
                <w:szCs w:val="19"/>
                <w:u w:val="none"/>
              </w:rPr>
            </w:pPr>
            <w:r>
              <w:rPr>
                <w:rFonts w:hint="eastAsia" w:ascii="宋体" w:hAnsi="宋体" w:eastAsia="宋体" w:cs="宋体"/>
                <w:snapToGrid w:val="0"/>
                <w:color w:val="000000"/>
                <w:spacing w:val="4"/>
                <w:kern w:val="0"/>
                <w:sz w:val="19"/>
                <w:szCs w:val="19"/>
                <w:highlight w:val="none"/>
                <w:lang w:val="en-US" w:eastAsia="zh-CN" w:bidi="ar-SA"/>
              </w:rPr>
              <w:t>达到100种（不含中药饮片）得5分，每增加50种加1分，最高 10分（注：中医医疗机构中药饮片达到400种得5分，每增加50种加1分，最高10分；牙科诊所如配足基本医疗保险药品种类数量，按实计分；仅配备消炎药等治疗所需基本药物，得5分；未配备消炎药物，此项不得分。）</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10</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90" w:lineRule="exact"/>
              <w:jc w:val="center"/>
              <w:rPr>
                <w:rFonts w:hint="eastAsia" w:ascii="宋体" w:hAnsi="宋体" w:eastAsia="宋体" w:cs="宋体"/>
                <w:i w:val="0"/>
                <w:color w:val="000000"/>
                <w:sz w:val="19"/>
                <w:szCs w:val="19"/>
                <w:u w:val="none"/>
              </w:rPr>
            </w:pPr>
          </w:p>
        </w:tc>
        <w:tc>
          <w:tcPr>
            <w:tcW w:w="44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left"/>
              <w:textAlignment w:val="center"/>
              <w:rPr>
                <w:rFonts w:hint="eastAsia" w:ascii="宋体" w:hAnsi="宋体" w:eastAsia="宋体" w:cs="宋体"/>
                <w:i w:val="0"/>
                <w:color w:val="000000"/>
                <w:sz w:val="19"/>
                <w:szCs w:val="19"/>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9"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8</w:t>
            </w:r>
          </w:p>
        </w:tc>
        <w:tc>
          <w:tcPr>
            <w:tcW w:w="22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具备提供收费清单和结算明细单能力</w:t>
            </w:r>
          </w:p>
        </w:tc>
        <w:tc>
          <w:tcPr>
            <w:tcW w:w="5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left"/>
              <w:textAlignment w:val="center"/>
              <w:rPr>
                <w:rFonts w:hint="eastAsia" w:ascii="宋体" w:hAnsi="宋体" w:eastAsia="宋体" w:cs="宋体"/>
                <w:i w:val="0"/>
                <w:color w:val="000000"/>
                <w:sz w:val="19"/>
                <w:szCs w:val="19"/>
                <w:u w:val="none"/>
              </w:rPr>
            </w:pPr>
            <w:r>
              <w:rPr>
                <w:rFonts w:hint="eastAsia" w:ascii="宋体" w:hAnsi="宋体" w:eastAsia="宋体" w:cs="宋体"/>
                <w:snapToGrid w:val="0"/>
                <w:color w:val="000000"/>
                <w:spacing w:val="4"/>
                <w:kern w:val="0"/>
                <w:sz w:val="19"/>
                <w:szCs w:val="19"/>
                <w:highlight w:val="none"/>
                <w:lang w:val="en-US" w:eastAsia="zh-CN" w:bidi="ar-SA"/>
              </w:rPr>
              <w:t>给患者提供收费清单和结算明细单，得10分，否则不得分</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10</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90" w:lineRule="exact"/>
              <w:jc w:val="center"/>
              <w:rPr>
                <w:rFonts w:hint="eastAsia" w:ascii="宋体" w:hAnsi="宋体" w:eastAsia="宋体" w:cs="宋体"/>
                <w:i w:val="0"/>
                <w:color w:val="000000"/>
                <w:sz w:val="19"/>
                <w:szCs w:val="19"/>
                <w:u w:val="none"/>
              </w:rPr>
            </w:pPr>
          </w:p>
        </w:tc>
        <w:tc>
          <w:tcPr>
            <w:tcW w:w="44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left"/>
              <w:textAlignment w:val="center"/>
              <w:rPr>
                <w:rFonts w:hint="eastAsia" w:ascii="宋体" w:hAnsi="宋体" w:eastAsia="宋体" w:cs="宋体"/>
                <w:i w:val="0"/>
                <w:color w:val="000000"/>
                <w:sz w:val="19"/>
                <w:szCs w:val="19"/>
                <w:u w:val="none"/>
              </w:rPr>
            </w:pPr>
            <w:r>
              <w:rPr>
                <w:rFonts w:hint="eastAsia" w:ascii="宋体" w:hAnsi="宋体" w:eastAsia="宋体" w:cs="宋体"/>
                <w:snapToGrid w:val="0"/>
                <w:color w:val="000000"/>
                <w:spacing w:val="4"/>
                <w:kern w:val="0"/>
                <w:sz w:val="19"/>
                <w:szCs w:val="19"/>
                <w:highlight w:val="none"/>
                <w:lang w:val="en-US" w:eastAsia="zh-CN" w:bidi="ar-SA"/>
              </w:rPr>
              <w:t>收费清单和结算明细单示例；现场查看随机患者清单2份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2"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9</w:t>
            </w:r>
          </w:p>
        </w:tc>
        <w:tc>
          <w:tcPr>
            <w:tcW w:w="22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医保目录外费用比例</w:t>
            </w:r>
          </w:p>
        </w:tc>
        <w:tc>
          <w:tcPr>
            <w:tcW w:w="5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left"/>
              <w:textAlignment w:val="center"/>
              <w:rPr>
                <w:rFonts w:hint="eastAsia" w:ascii="宋体" w:hAnsi="宋体" w:eastAsia="宋体" w:cs="宋体"/>
                <w:i w:val="0"/>
                <w:color w:val="000000"/>
                <w:sz w:val="19"/>
                <w:szCs w:val="19"/>
                <w:u w:val="none"/>
              </w:rPr>
            </w:pPr>
            <w:r>
              <w:rPr>
                <w:rFonts w:hint="eastAsia" w:ascii="宋体" w:hAnsi="宋体" w:eastAsia="宋体" w:cs="宋体"/>
                <w:snapToGrid w:val="0"/>
                <w:color w:val="auto"/>
                <w:spacing w:val="4"/>
                <w:kern w:val="0"/>
                <w:sz w:val="19"/>
                <w:szCs w:val="19"/>
                <w:highlight w:val="none"/>
                <w:lang w:val="en-US" w:eastAsia="zh-CN" w:bidi="ar-SA"/>
              </w:rPr>
              <w:t>≤10％得10分，每超过1% ，扣1分，扣完10分为止</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10</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90" w:lineRule="exact"/>
              <w:jc w:val="center"/>
              <w:rPr>
                <w:rFonts w:hint="eastAsia" w:ascii="宋体" w:hAnsi="宋体" w:eastAsia="宋体" w:cs="宋体"/>
                <w:i w:val="0"/>
                <w:color w:val="000000"/>
                <w:sz w:val="19"/>
                <w:szCs w:val="19"/>
                <w:u w:val="none"/>
              </w:rPr>
            </w:pPr>
          </w:p>
        </w:tc>
        <w:tc>
          <w:tcPr>
            <w:tcW w:w="44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left"/>
              <w:textAlignment w:val="center"/>
              <w:rPr>
                <w:rFonts w:hint="eastAsia" w:ascii="宋体" w:hAnsi="宋体" w:eastAsia="宋体" w:cs="宋体"/>
                <w:i w:val="0"/>
                <w:color w:val="000000"/>
                <w:sz w:val="19"/>
                <w:szCs w:val="19"/>
                <w:u w:val="none"/>
              </w:rPr>
            </w:pPr>
            <w:r>
              <w:rPr>
                <w:rFonts w:hint="eastAsia" w:ascii="宋体" w:hAnsi="宋体" w:eastAsia="宋体" w:cs="宋体"/>
                <w:snapToGrid w:val="0"/>
                <w:color w:val="000000"/>
                <w:spacing w:val="4"/>
                <w:kern w:val="0"/>
                <w:sz w:val="19"/>
                <w:szCs w:val="19"/>
                <w:highlight w:val="none"/>
                <w:lang w:val="en-US" w:eastAsia="zh-CN" w:bidi="ar-SA"/>
              </w:rPr>
              <w:t>提供近半年（正式运营不满半年的，从运营开始时间）的相关数据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3"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10</w:t>
            </w:r>
          </w:p>
        </w:tc>
        <w:tc>
          <w:tcPr>
            <w:tcW w:w="22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价格收费情况</w:t>
            </w:r>
          </w:p>
        </w:tc>
        <w:tc>
          <w:tcPr>
            <w:tcW w:w="5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left"/>
              <w:textAlignment w:val="center"/>
              <w:rPr>
                <w:rFonts w:hint="eastAsia" w:ascii="宋体" w:hAnsi="宋体" w:eastAsia="宋体" w:cs="宋体"/>
                <w:i w:val="0"/>
                <w:color w:val="000000"/>
                <w:sz w:val="19"/>
                <w:szCs w:val="19"/>
                <w:u w:val="none"/>
              </w:rPr>
            </w:pPr>
            <w:r>
              <w:rPr>
                <w:rFonts w:hint="eastAsia" w:ascii="宋体" w:hAnsi="宋体" w:eastAsia="宋体" w:cs="宋体"/>
                <w:snapToGrid w:val="0"/>
                <w:color w:val="auto"/>
                <w:spacing w:val="4"/>
                <w:kern w:val="0"/>
                <w:sz w:val="19"/>
                <w:szCs w:val="19"/>
                <w:highlight w:val="none"/>
                <w:lang w:val="en-US" w:eastAsia="zh-CN" w:bidi="ar-SA"/>
              </w:rPr>
              <w:t>医院有完整明确的诊疗项目一览表及收费公示得4分；各医技科室有符合要求的检查人员日志登记簿得4分，病人检查项目与各科室登记簿核定一致得2分</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10</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90" w:lineRule="exact"/>
              <w:jc w:val="center"/>
              <w:rPr>
                <w:rFonts w:hint="eastAsia" w:ascii="宋体" w:hAnsi="宋体" w:eastAsia="宋体" w:cs="宋体"/>
                <w:i w:val="0"/>
                <w:color w:val="000000"/>
                <w:sz w:val="19"/>
                <w:szCs w:val="19"/>
                <w:u w:val="none"/>
              </w:rPr>
            </w:pPr>
          </w:p>
        </w:tc>
        <w:tc>
          <w:tcPr>
            <w:tcW w:w="44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left"/>
              <w:textAlignment w:val="center"/>
              <w:rPr>
                <w:rFonts w:hint="eastAsia" w:ascii="宋体" w:hAnsi="宋体" w:eastAsia="宋体" w:cs="宋体"/>
                <w:snapToGrid w:val="0"/>
                <w:color w:val="000000"/>
                <w:spacing w:val="4"/>
                <w:kern w:val="0"/>
                <w:sz w:val="19"/>
                <w:szCs w:val="19"/>
                <w:highlight w:val="none"/>
                <w:lang w:val="en-US" w:eastAsia="zh-CN" w:bidi="ar-SA"/>
              </w:rPr>
            </w:pPr>
          </w:p>
          <w:p>
            <w:pPr>
              <w:keepNext w:val="0"/>
              <w:keepLines w:val="0"/>
              <w:pageBreakBefore w:val="0"/>
              <w:widowControl/>
              <w:suppressLineNumbers w:val="0"/>
              <w:kinsoku/>
              <w:wordWrap/>
              <w:overflowPunct/>
              <w:topLinePunct w:val="0"/>
              <w:autoSpaceDE/>
              <w:autoSpaceDN/>
              <w:bidi w:val="0"/>
              <w:adjustRightInd/>
              <w:snapToGrid/>
              <w:spacing w:line="590" w:lineRule="exact"/>
              <w:jc w:val="left"/>
              <w:textAlignment w:val="center"/>
              <w:rPr>
                <w:rFonts w:hint="eastAsia" w:ascii="宋体" w:hAnsi="宋体" w:eastAsia="宋体" w:cs="宋体"/>
                <w:i w:val="0"/>
                <w:color w:val="000000"/>
                <w:sz w:val="19"/>
                <w:szCs w:val="19"/>
                <w:u w:val="none"/>
              </w:rPr>
            </w:pPr>
            <w:r>
              <w:rPr>
                <w:rFonts w:hint="eastAsia" w:ascii="宋体" w:hAnsi="宋体" w:eastAsia="宋体" w:cs="宋体"/>
                <w:snapToGrid w:val="0"/>
                <w:color w:val="000000"/>
                <w:spacing w:val="4"/>
                <w:kern w:val="0"/>
                <w:sz w:val="19"/>
                <w:szCs w:val="19"/>
                <w:highlight w:val="none"/>
                <w:lang w:val="en-US" w:eastAsia="zh-CN" w:bidi="ar-SA"/>
              </w:rPr>
              <w:t>提供完整明确的诊疗项目一览表及收费公示；各医技科室的检查人员日志登记簿；现场随机查看患者收费单据2份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5"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11</w:t>
            </w:r>
          </w:p>
        </w:tc>
        <w:tc>
          <w:tcPr>
            <w:tcW w:w="22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参加社会保险情况</w:t>
            </w:r>
          </w:p>
        </w:tc>
        <w:tc>
          <w:tcPr>
            <w:tcW w:w="5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left"/>
              <w:textAlignment w:val="center"/>
              <w:rPr>
                <w:rFonts w:hint="eastAsia" w:ascii="宋体" w:hAnsi="宋体" w:eastAsia="宋体" w:cs="宋体"/>
                <w:snapToGrid w:val="0"/>
                <w:color w:val="000000"/>
                <w:spacing w:val="4"/>
                <w:kern w:val="0"/>
                <w:sz w:val="19"/>
                <w:szCs w:val="19"/>
                <w:highlight w:val="none"/>
                <w:lang w:val="en-US" w:eastAsia="zh-CN" w:bidi="ar-SA"/>
              </w:rPr>
            </w:pPr>
          </w:p>
          <w:p>
            <w:pPr>
              <w:keepNext w:val="0"/>
              <w:keepLines w:val="0"/>
              <w:pageBreakBefore w:val="0"/>
              <w:widowControl/>
              <w:suppressLineNumbers w:val="0"/>
              <w:kinsoku/>
              <w:wordWrap/>
              <w:overflowPunct/>
              <w:topLinePunct w:val="0"/>
              <w:autoSpaceDE/>
              <w:autoSpaceDN/>
              <w:bidi w:val="0"/>
              <w:adjustRightInd/>
              <w:snapToGrid/>
              <w:spacing w:line="590" w:lineRule="exact"/>
              <w:jc w:val="left"/>
              <w:textAlignment w:val="center"/>
              <w:rPr>
                <w:rFonts w:hint="eastAsia" w:ascii="宋体" w:hAnsi="宋体" w:eastAsia="宋体" w:cs="宋体"/>
                <w:i w:val="0"/>
                <w:color w:val="000000"/>
                <w:sz w:val="19"/>
                <w:szCs w:val="19"/>
                <w:u w:val="none"/>
              </w:rPr>
            </w:pPr>
            <w:r>
              <w:rPr>
                <w:rFonts w:hint="eastAsia" w:ascii="宋体" w:hAnsi="宋体" w:eastAsia="宋体" w:cs="宋体"/>
                <w:snapToGrid w:val="0"/>
                <w:color w:val="000000"/>
                <w:spacing w:val="4"/>
                <w:kern w:val="0"/>
                <w:sz w:val="19"/>
                <w:szCs w:val="19"/>
                <w:highlight w:val="none"/>
                <w:lang w:val="en-US" w:eastAsia="zh-CN" w:bidi="ar-SA"/>
              </w:rPr>
              <w:t>所有员工参加社会保险并缴纳社会保险费得5分，否则不得分</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宋体" w:hAnsi="宋体" w:eastAsia="宋体" w:cs="宋体"/>
                <w:i w:val="0"/>
                <w:color w:val="000000"/>
                <w:sz w:val="19"/>
                <w:szCs w:val="19"/>
                <w:u w:val="none"/>
              </w:rPr>
            </w:pPr>
            <w:r>
              <w:rPr>
                <w:rFonts w:hint="eastAsia" w:ascii="宋体" w:hAnsi="宋体" w:eastAsia="宋体" w:cs="宋体"/>
                <w:i w:val="0"/>
                <w:color w:val="000000"/>
                <w:kern w:val="0"/>
                <w:sz w:val="19"/>
                <w:szCs w:val="19"/>
                <w:u w:val="none"/>
                <w:lang w:val="en-US" w:eastAsia="zh-CN" w:bidi="ar"/>
              </w:rPr>
              <w:t>5</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90" w:lineRule="exact"/>
              <w:jc w:val="center"/>
              <w:rPr>
                <w:rFonts w:hint="eastAsia" w:ascii="宋体" w:hAnsi="宋体" w:eastAsia="宋体" w:cs="宋体"/>
                <w:i w:val="0"/>
                <w:color w:val="000000"/>
                <w:sz w:val="19"/>
                <w:szCs w:val="19"/>
                <w:u w:val="none"/>
              </w:rPr>
            </w:pPr>
          </w:p>
        </w:tc>
        <w:tc>
          <w:tcPr>
            <w:tcW w:w="44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left"/>
              <w:textAlignment w:val="center"/>
              <w:rPr>
                <w:rFonts w:hint="eastAsia" w:ascii="宋体" w:hAnsi="宋体" w:eastAsia="宋体" w:cs="宋体"/>
                <w:snapToGrid w:val="0"/>
                <w:color w:val="000000"/>
                <w:spacing w:val="4"/>
                <w:kern w:val="0"/>
                <w:sz w:val="19"/>
                <w:szCs w:val="19"/>
                <w:highlight w:val="none"/>
                <w:lang w:val="en-US" w:eastAsia="zh-CN" w:bidi="ar-SA"/>
              </w:rPr>
            </w:pPr>
          </w:p>
          <w:p>
            <w:pPr>
              <w:keepNext w:val="0"/>
              <w:keepLines w:val="0"/>
              <w:pageBreakBefore w:val="0"/>
              <w:widowControl/>
              <w:suppressLineNumbers w:val="0"/>
              <w:kinsoku/>
              <w:wordWrap/>
              <w:overflowPunct/>
              <w:topLinePunct w:val="0"/>
              <w:autoSpaceDE/>
              <w:autoSpaceDN/>
              <w:bidi w:val="0"/>
              <w:adjustRightInd/>
              <w:snapToGrid/>
              <w:spacing w:line="590" w:lineRule="exact"/>
              <w:jc w:val="left"/>
              <w:textAlignment w:val="center"/>
              <w:rPr>
                <w:rFonts w:hint="eastAsia" w:ascii="宋体" w:hAnsi="宋体" w:eastAsia="宋体" w:cs="宋体"/>
                <w:i w:val="0"/>
                <w:color w:val="000000"/>
                <w:sz w:val="19"/>
                <w:szCs w:val="19"/>
                <w:u w:val="none"/>
              </w:rPr>
            </w:pPr>
            <w:r>
              <w:rPr>
                <w:rFonts w:hint="eastAsia" w:ascii="宋体" w:hAnsi="宋体" w:eastAsia="宋体" w:cs="宋体"/>
                <w:snapToGrid w:val="0"/>
                <w:color w:val="000000"/>
                <w:spacing w:val="4"/>
                <w:kern w:val="0"/>
                <w:sz w:val="19"/>
                <w:szCs w:val="19"/>
                <w:highlight w:val="none"/>
                <w:lang w:val="en-US" w:eastAsia="zh-CN" w:bidi="ar-SA"/>
              </w:rPr>
              <w:t>提供单位参保人员花名册、已参保缴费证明，其中返聘退休人员的，提供退休证明材料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3"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ordWrap/>
              <w:overflowPunct/>
              <w:topLinePunct w:val="0"/>
              <w:bidi w:val="0"/>
              <w:spacing w:line="590" w:lineRule="exact"/>
              <w:jc w:val="center"/>
              <w:rPr>
                <w:rFonts w:hint="default" w:ascii="Arial" w:hAnsi="Arial" w:eastAsia="宋体" w:cs="Arial"/>
                <w:i w:val="0"/>
                <w:color w:val="000000"/>
                <w:sz w:val="21"/>
                <w:szCs w:val="21"/>
                <w:u w:val="none"/>
              </w:rPr>
            </w:pPr>
          </w:p>
        </w:tc>
        <w:tc>
          <w:tcPr>
            <w:tcW w:w="22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ordWrap/>
              <w:overflowPunct/>
              <w:topLinePunct w:val="0"/>
              <w:bidi w:val="0"/>
              <w:spacing w:line="590" w:lineRule="exact"/>
              <w:jc w:val="center"/>
              <w:rPr>
                <w:rFonts w:hint="default" w:ascii="Arial" w:hAnsi="Arial" w:eastAsia="宋体" w:cs="Arial"/>
                <w:i w:val="0"/>
                <w:color w:val="000000"/>
                <w:sz w:val="21"/>
                <w:szCs w:val="21"/>
                <w:u w:val="none"/>
              </w:rPr>
            </w:pPr>
          </w:p>
        </w:tc>
        <w:tc>
          <w:tcPr>
            <w:tcW w:w="5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overflowPunct/>
              <w:topLinePunct w:val="0"/>
              <w:bidi w:val="0"/>
              <w:spacing w:line="590" w:lineRule="exact"/>
              <w:jc w:val="center"/>
              <w:textAlignment w:val="center"/>
              <w:rPr>
                <w:rFonts w:hint="eastAsia" w:ascii="宋体" w:hAnsi="宋体" w:eastAsia="宋体" w:cs="宋体"/>
                <w:b/>
                <w:i w:val="0"/>
                <w:color w:val="000000"/>
                <w:sz w:val="19"/>
                <w:szCs w:val="19"/>
                <w:u w:val="none"/>
              </w:rPr>
            </w:pPr>
            <w:r>
              <w:rPr>
                <w:rFonts w:hint="eastAsia" w:ascii="宋体" w:hAnsi="宋体" w:eastAsia="宋体" w:cs="宋体"/>
                <w:b/>
                <w:i w:val="0"/>
                <w:color w:val="000000"/>
                <w:kern w:val="0"/>
                <w:sz w:val="19"/>
                <w:szCs w:val="19"/>
                <w:u w:val="none"/>
                <w:lang w:val="en-US" w:eastAsia="zh-CN" w:bidi="ar"/>
              </w:rPr>
              <w:t>分值合计</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wordWrap/>
              <w:overflowPunct/>
              <w:topLinePunct w:val="0"/>
              <w:bidi w:val="0"/>
              <w:spacing w:line="590" w:lineRule="exact"/>
              <w:jc w:val="center"/>
              <w:textAlignment w:val="center"/>
              <w:rPr>
                <w:rFonts w:hint="default" w:ascii="Times New Roman" w:hAnsi="Times New Roman" w:eastAsia="宋体" w:cs="Times New Roman"/>
                <w:i w:val="0"/>
                <w:color w:val="000000"/>
                <w:sz w:val="19"/>
                <w:szCs w:val="19"/>
                <w:u w:val="none"/>
              </w:rPr>
            </w:pPr>
            <w:r>
              <w:rPr>
                <w:rFonts w:hint="default" w:ascii="Times New Roman" w:hAnsi="Times New Roman" w:eastAsia="宋体" w:cs="Times New Roman"/>
                <w:i w:val="0"/>
                <w:color w:val="000000"/>
                <w:kern w:val="0"/>
                <w:sz w:val="19"/>
                <w:szCs w:val="19"/>
                <w:u w:val="none"/>
                <w:lang w:val="en-US" w:eastAsia="zh-CN" w:bidi="ar"/>
              </w:rPr>
              <w:t>100</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ordWrap/>
              <w:overflowPunct/>
              <w:topLinePunct w:val="0"/>
              <w:bidi w:val="0"/>
              <w:spacing w:line="590" w:lineRule="exact"/>
              <w:jc w:val="center"/>
              <w:rPr>
                <w:rFonts w:hint="default" w:ascii="Arial" w:hAnsi="Arial" w:eastAsia="宋体" w:cs="Arial"/>
                <w:i w:val="0"/>
                <w:color w:val="000000"/>
                <w:sz w:val="21"/>
                <w:szCs w:val="21"/>
                <w:u w:val="none"/>
              </w:rPr>
            </w:pPr>
          </w:p>
        </w:tc>
        <w:tc>
          <w:tcPr>
            <w:tcW w:w="4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ordWrap/>
              <w:overflowPunct/>
              <w:topLinePunct w:val="0"/>
              <w:bidi w:val="0"/>
              <w:spacing w:line="590" w:lineRule="exact"/>
              <w:jc w:val="center"/>
              <w:rPr>
                <w:rFonts w:hint="eastAsia" w:ascii="宋体" w:hAnsi="宋体" w:eastAsia="宋体" w:cs="宋体"/>
                <w:i w:val="0"/>
                <w:color w:val="000000"/>
                <w:sz w:val="24"/>
                <w:szCs w:val="24"/>
                <w:u w:val="none"/>
              </w:rPr>
            </w:pPr>
          </w:p>
        </w:tc>
      </w:tr>
    </w:tbl>
    <w:p>
      <w:pPr>
        <w:pStyle w:val="2"/>
        <w:keepNext w:val="0"/>
        <w:keepLines w:val="0"/>
        <w:pageBreakBefore w:val="0"/>
        <w:wordWrap/>
        <w:overflowPunct/>
        <w:topLinePunct w:val="0"/>
        <w:bidi w:val="0"/>
        <w:spacing w:line="590" w:lineRule="exact"/>
        <w:rPr>
          <w:rFonts w:hint="eastAsia" w:ascii="仿宋_GB2312" w:hAnsi="仿宋_GB2312" w:eastAsia="仿宋_GB2312" w:cs="仿宋_GB2312"/>
          <w:sz w:val="28"/>
          <w:szCs w:val="28"/>
          <w:lang w:eastAsia="zh-CN"/>
        </w:rPr>
      </w:pPr>
    </w:p>
    <w:p>
      <w:pPr>
        <w:pStyle w:val="2"/>
        <w:keepNext w:val="0"/>
        <w:keepLines w:val="0"/>
        <w:pageBreakBefore w:val="0"/>
        <w:wordWrap/>
        <w:overflowPunct/>
        <w:topLinePunct w:val="0"/>
        <w:bidi w:val="0"/>
        <w:spacing w:line="590" w:lineRule="exact"/>
        <w:rPr>
          <w:rFonts w:hint="eastAsia" w:ascii="仿宋_GB2312" w:hAnsi="仿宋_GB2312" w:eastAsia="仿宋_GB2312" w:cs="仿宋_GB2312"/>
          <w:sz w:val="28"/>
          <w:szCs w:val="28"/>
          <w:lang w:eastAsia="zh-CN"/>
        </w:rPr>
      </w:pPr>
    </w:p>
    <w:p>
      <w:pPr>
        <w:pStyle w:val="2"/>
        <w:keepNext w:val="0"/>
        <w:keepLines w:val="0"/>
        <w:pageBreakBefore w:val="0"/>
        <w:wordWrap/>
        <w:overflowPunct/>
        <w:topLinePunct w:val="0"/>
        <w:bidi w:val="0"/>
        <w:spacing w:line="590" w:lineRule="exact"/>
        <w:rPr>
          <w:rFonts w:hint="eastAsia" w:ascii="仿宋_GB2312" w:hAnsi="仿宋_GB2312" w:eastAsia="仿宋_GB2312" w:cs="仿宋_GB2312"/>
          <w:sz w:val="28"/>
          <w:szCs w:val="28"/>
          <w:lang w:eastAsia="zh-CN"/>
        </w:rPr>
      </w:pPr>
    </w:p>
    <w:p>
      <w:pPr>
        <w:pStyle w:val="2"/>
        <w:keepNext w:val="0"/>
        <w:keepLines w:val="0"/>
        <w:pageBreakBefore w:val="0"/>
        <w:wordWrap/>
        <w:overflowPunct/>
        <w:topLinePunct w:val="0"/>
        <w:bidi w:val="0"/>
        <w:spacing w:line="590" w:lineRule="exact"/>
        <w:rPr>
          <w:rFonts w:hint="eastAsia" w:ascii="仿宋_GB2312" w:hAnsi="仿宋_GB2312" w:eastAsia="仿宋_GB2312" w:cs="仿宋_GB2312"/>
          <w:sz w:val="28"/>
          <w:szCs w:val="28"/>
          <w:lang w:eastAsia="zh-CN"/>
        </w:rPr>
      </w:pPr>
    </w:p>
    <w:p>
      <w:pPr>
        <w:pStyle w:val="2"/>
        <w:keepNext w:val="0"/>
        <w:keepLines w:val="0"/>
        <w:pageBreakBefore w:val="0"/>
        <w:wordWrap/>
        <w:overflowPunct/>
        <w:topLinePunct w:val="0"/>
        <w:bidi w:val="0"/>
        <w:spacing w:line="590" w:lineRule="exact"/>
        <w:rPr>
          <w:rFonts w:hint="eastAsia" w:ascii="仿宋_GB2312" w:hAnsi="仿宋_GB2312" w:eastAsia="仿宋_GB2312" w:cs="仿宋_GB2312"/>
          <w:sz w:val="28"/>
          <w:szCs w:val="28"/>
          <w:lang w:eastAsia="zh-CN"/>
        </w:rPr>
      </w:pPr>
    </w:p>
    <w:p>
      <w:pPr>
        <w:pStyle w:val="2"/>
        <w:keepNext w:val="0"/>
        <w:keepLines w:val="0"/>
        <w:pageBreakBefore w:val="0"/>
        <w:wordWrap/>
        <w:overflowPunct/>
        <w:topLinePunct w:val="0"/>
        <w:bidi w:val="0"/>
        <w:spacing w:line="590" w:lineRule="exact"/>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lang w:eastAsia="zh-CN"/>
        </w:rPr>
        <w:t>附件4</w:t>
      </w:r>
    </w:p>
    <w:p>
      <w:pPr>
        <w:rPr>
          <w:rFonts w:hint="eastAsia"/>
          <w:lang w:eastAsia="zh-CN"/>
        </w:rPr>
      </w:pPr>
    </w:p>
    <w:p>
      <w:pPr>
        <w:pStyle w:val="2"/>
        <w:keepNext w:val="0"/>
        <w:keepLines w:val="0"/>
        <w:pageBreakBefore w:val="0"/>
        <w:widowControl w:val="0"/>
        <w:kinsoku/>
        <w:wordWrap/>
        <w:overflowPunct/>
        <w:topLinePunct w:val="0"/>
        <w:autoSpaceDE/>
        <w:autoSpaceDN/>
        <w:bidi w:val="0"/>
        <w:adjustRightInd/>
        <w:snapToGrid w:val="0"/>
        <w:spacing w:line="590" w:lineRule="exact"/>
        <w:jc w:val="center"/>
        <w:textAlignment w:val="auto"/>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芜湖市基本医疗保险定点零售药店评分标准表</w:t>
      </w:r>
    </w:p>
    <w:p>
      <w:pPr>
        <w:pStyle w:val="2"/>
        <w:keepNext w:val="0"/>
        <w:keepLines w:val="0"/>
        <w:pageBreakBefore w:val="0"/>
        <w:wordWrap/>
        <w:overflowPunct/>
        <w:topLinePunct w:val="0"/>
        <w:bidi w:val="0"/>
        <w:spacing w:line="590" w:lineRule="exact"/>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（定点零售药店机构 80分合格）</w:t>
      </w:r>
    </w:p>
    <w:p>
      <w:pPr>
        <w:rPr>
          <w:rFonts w:hint="eastAsia"/>
          <w:lang w:eastAsia="zh-CN"/>
        </w:rPr>
      </w:pPr>
    </w:p>
    <w:tbl>
      <w:tblPr>
        <w:tblStyle w:val="12"/>
        <w:tblW w:w="5352"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70"/>
        <w:gridCol w:w="6"/>
        <w:gridCol w:w="2010"/>
        <w:gridCol w:w="4920"/>
        <w:gridCol w:w="900"/>
        <w:gridCol w:w="180"/>
        <w:gridCol w:w="761"/>
        <w:gridCol w:w="47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47" w:type="pct"/>
            <w:gridSpan w:val="3"/>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黑体" w:hAnsi="黑体" w:eastAsia="黑体" w:cs="黑体"/>
                <w:i w:val="0"/>
                <w:iCs w:val="0"/>
                <w:color w:val="000000"/>
                <w:sz w:val="21"/>
                <w:szCs w:val="21"/>
                <w:highlight w:val="none"/>
                <w:u w:val="none"/>
              </w:rPr>
            </w:pPr>
            <w:r>
              <w:rPr>
                <w:rFonts w:hint="eastAsia" w:ascii="黑体" w:hAnsi="黑体" w:eastAsia="黑体" w:cs="黑体"/>
                <w:i w:val="0"/>
                <w:iCs w:val="0"/>
                <w:snapToGrid w:val="0"/>
                <w:color w:val="000000"/>
                <w:kern w:val="0"/>
                <w:sz w:val="21"/>
                <w:szCs w:val="21"/>
                <w:highlight w:val="none"/>
                <w:u w:val="none"/>
                <w:lang w:val="en-US" w:eastAsia="zh-CN" w:bidi="ar"/>
              </w:rPr>
              <w:t>零售药店名称</w:t>
            </w:r>
          </w:p>
        </w:tc>
        <w:tc>
          <w:tcPr>
            <w:tcW w:w="4052" w:type="pct"/>
            <w:gridSpan w:val="5"/>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kinsoku/>
              <w:wordWrap/>
              <w:overflowPunct/>
              <w:topLinePunct w:val="0"/>
              <w:autoSpaceDE/>
              <w:autoSpaceDN/>
              <w:bidi w:val="0"/>
              <w:adjustRightInd/>
              <w:snapToGrid/>
              <w:spacing w:line="590" w:lineRule="exact"/>
              <w:jc w:val="center"/>
              <w:rPr>
                <w:rFonts w:hint="eastAsia" w:ascii="黑体" w:hAnsi="黑体" w:eastAsia="黑体" w:cs="黑体"/>
                <w:i w:val="0"/>
                <w:iCs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5000" w:type="pct"/>
            <w:gridSpan w:val="8"/>
            <w:tcBorders>
              <w:top w:val="nil"/>
              <w:left w:val="single" w:color="000000" w:sz="8" w:space="0"/>
              <w:bottom w:val="nil"/>
              <w:right w:val="single" w:color="000000" w:sz="8"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黑体" w:hAnsi="黑体" w:eastAsia="黑体" w:cs="黑体"/>
                <w:i w:val="0"/>
                <w:iCs w:val="0"/>
                <w:color w:val="000000"/>
                <w:sz w:val="21"/>
                <w:szCs w:val="21"/>
                <w:highlight w:val="none"/>
                <w:u w:val="none"/>
              </w:rPr>
            </w:pPr>
            <w:r>
              <w:rPr>
                <w:rFonts w:hint="eastAsia" w:ascii="黑体" w:hAnsi="黑体" w:eastAsia="黑体" w:cs="黑体"/>
                <w:i w:val="0"/>
                <w:iCs w:val="0"/>
                <w:snapToGrid w:val="0"/>
                <w:color w:val="000000"/>
                <w:kern w:val="0"/>
                <w:sz w:val="21"/>
                <w:szCs w:val="21"/>
                <w:highlight w:val="none"/>
                <w:u w:val="none"/>
                <w:lang w:val="en-US" w:eastAsia="zh-CN" w:bidi="ar"/>
              </w:rPr>
              <w:t>否 决 项 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236"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黑体" w:hAnsi="黑体" w:eastAsia="黑体" w:cs="黑体"/>
                <w:b w:val="0"/>
                <w:bCs w:val="0"/>
                <w:i w:val="0"/>
                <w:iCs w:val="0"/>
                <w:color w:val="000000"/>
                <w:sz w:val="21"/>
                <w:szCs w:val="21"/>
                <w:highlight w:val="none"/>
                <w:u w:val="none"/>
              </w:rPr>
            </w:pPr>
            <w:r>
              <w:rPr>
                <w:rFonts w:hint="eastAsia" w:ascii="黑体" w:hAnsi="黑体" w:eastAsia="黑体" w:cs="黑体"/>
                <w:b w:val="0"/>
                <w:bCs w:val="0"/>
                <w:i w:val="0"/>
                <w:iCs w:val="0"/>
                <w:snapToGrid w:val="0"/>
                <w:color w:val="000000"/>
                <w:kern w:val="0"/>
                <w:sz w:val="21"/>
                <w:szCs w:val="21"/>
                <w:highlight w:val="none"/>
                <w:u w:val="none"/>
                <w:lang w:val="en-US" w:eastAsia="zh-CN" w:bidi="ar"/>
              </w:rPr>
              <w:t>序号</w:t>
            </w:r>
          </w:p>
        </w:tc>
        <w:tc>
          <w:tcPr>
            <w:tcW w:w="711" w:type="pct"/>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黑体" w:hAnsi="黑体" w:eastAsia="黑体" w:cs="黑体"/>
                <w:i w:val="0"/>
                <w:iCs w:val="0"/>
                <w:color w:val="000000"/>
                <w:sz w:val="21"/>
                <w:szCs w:val="21"/>
                <w:highlight w:val="none"/>
                <w:u w:val="none"/>
              </w:rPr>
            </w:pPr>
            <w:r>
              <w:rPr>
                <w:rFonts w:hint="eastAsia" w:ascii="黑体" w:hAnsi="黑体" w:eastAsia="黑体" w:cs="黑体"/>
                <w:i w:val="0"/>
                <w:iCs w:val="0"/>
                <w:snapToGrid w:val="0"/>
                <w:color w:val="000000"/>
                <w:kern w:val="0"/>
                <w:sz w:val="21"/>
                <w:szCs w:val="21"/>
                <w:highlight w:val="none"/>
                <w:u w:val="none"/>
                <w:lang w:val="en-US" w:eastAsia="zh-CN" w:bidi="ar"/>
              </w:rPr>
              <w:t>评估项目</w:t>
            </w:r>
          </w:p>
        </w:tc>
        <w:tc>
          <w:tcPr>
            <w:tcW w:w="173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黑体" w:hAnsi="黑体" w:eastAsia="黑体" w:cs="黑体"/>
                <w:i w:val="0"/>
                <w:iCs w:val="0"/>
                <w:color w:val="000000"/>
                <w:sz w:val="21"/>
                <w:szCs w:val="21"/>
                <w:highlight w:val="none"/>
                <w:u w:val="none"/>
              </w:rPr>
            </w:pPr>
            <w:r>
              <w:rPr>
                <w:rFonts w:hint="eastAsia" w:ascii="黑体" w:hAnsi="黑体" w:eastAsia="黑体" w:cs="黑体"/>
                <w:i w:val="0"/>
                <w:iCs w:val="0"/>
                <w:snapToGrid w:val="0"/>
                <w:color w:val="000000"/>
                <w:kern w:val="0"/>
                <w:sz w:val="21"/>
                <w:szCs w:val="21"/>
                <w:highlight w:val="none"/>
                <w:u w:val="none"/>
                <w:lang w:val="en-US" w:eastAsia="zh-CN" w:bidi="ar"/>
              </w:rPr>
              <w:t>评定标准</w:t>
            </w:r>
          </w:p>
        </w:tc>
        <w:tc>
          <w:tcPr>
            <w:tcW w:w="380"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黑体" w:hAnsi="黑体" w:eastAsia="黑体" w:cs="黑体"/>
                <w:b/>
                <w:bCs/>
                <w:i w:val="0"/>
                <w:iCs w:val="0"/>
                <w:color w:val="000000"/>
                <w:sz w:val="21"/>
                <w:szCs w:val="21"/>
                <w:highlight w:val="none"/>
                <w:u w:val="none"/>
              </w:rPr>
            </w:pPr>
            <w:r>
              <w:rPr>
                <w:rFonts w:hint="eastAsia" w:ascii="黑体" w:hAnsi="黑体" w:eastAsia="黑体" w:cs="黑体"/>
                <w:b/>
                <w:bCs/>
                <w:i w:val="0"/>
                <w:iCs w:val="0"/>
                <w:snapToGrid w:val="0"/>
                <w:color w:val="000000"/>
                <w:kern w:val="0"/>
                <w:sz w:val="21"/>
                <w:szCs w:val="21"/>
                <w:highlight w:val="none"/>
                <w:u w:val="none"/>
                <w:lang w:val="en-US" w:eastAsia="zh-CN" w:bidi="ar"/>
              </w:rPr>
              <w:t>评</w:t>
            </w:r>
            <w:r>
              <w:rPr>
                <w:rStyle w:val="23"/>
                <w:rFonts w:hint="eastAsia" w:ascii="黑体" w:hAnsi="黑体" w:eastAsia="黑体" w:cs="黑体"/>
                <w:snapToGrid w:val="0"/>
                <w:color w:val="000000"/>
                <w:sz w:val="21"/>
                <w:szCs w:val="21"/>
                <w:highlight w:val="none"/>
                <w:lang w:val="en-US" w:eastAsia="zh-CN" w:bidi="ar"/>
              </w:rPr>
              <w:t>定情况</w:t>
            </w:r>
          </w:p>
        </w:tc>
        <w:tc>
          <w:tcPr>
            <w:tcW w:w="1936"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黑体" w:hAnsi="黑体" w:eastAsia="黑体" w:cs="黑体"/>
                <w:b/>
                <w:bCs/>
                <w:i w:val="0"/>
                <w:iCs w:val="0"/>
                <w:color w:val="000000"/>
                <w:sz w:val="21"/>
                <w:szCs w:val="21"/>
                <w:highlight w:val="none"/>
                <w:u w:val="none"/>
              </w:rPr>
            </w:pPr>
            <w:r>
              <w:rPr>
                <w:rFonts w:hint="eastAsia" w:ascii="黑体" w:hAnsi="黑体" w:eastAsia="黑体" w:cs="黑体"/>
                <w:b w:val="0"/>
                <w:bCs w:val="0"/>
                <w:i w:val="0"/>
                <w:iCs w:val="0"/>
                <w:snapToGrid w:val="0"/>
                <w:color w:val="000000"/>
                <w:kern w:val="0"/>
                <w:sz w:val="21"/>
                <w:szCs w:val="21"/>
                <w:highlight w:val="none"/>
                <w:u w:val="none"/>
                <w:lang w:val="en-US" w:eastAsia="zh-CN" w:bidi="ar"/>
              </w:rPr>
              <w:t>需提交相关证明材料及考核办法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0" w:hRule="atLeast"/>
          <w:jc w:val="center"/>
        </w:trPr>
        <w:tc>
          <w:tcPr>
            <w:tcW w:w="23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仿宋_GB2312" w:eastAsia="仿宋_GB2312" w:cs="仿宋_GB2312"/>
                <w:snapToGrid w:val="0"/>
                <w:color w:val="000000"/>
                <w:spacing w:val="4"/>
                <w:kern w:val="0"/>
                <w:sz w:val="19"/>
                <w:szCs w:val="19"/>
                <w:highlight w:val="none"/>
                <w:lang w:val="en-US" w:eastAsia="zh-CN" w:bidi="ar-SA"/>
              </w:rPr>
            </w:pPr>
            <w:r>
              <w:rPr>
                <w:rFonts w:hint="eastAsia" w:ascii="仿宋_GB2312" w:hAnsi="仿宋_GB2312" w:eastAsia="仿宋_GB2312" w:cs="仿宋_GB2312"/>
                <w:snapToGrid w:val="0"/>
                <w:color w:val="000000"/>
                <w:spacing w:val="4"/>
                <w:kern w:val="0"/>
                <w:sz w:val="19"/>
                <w:szCs w:val="19"/>
                <w:highlight w:val="none"/>
                <w:lang w:val="en-US" w:eastAsia="zh-CN" w:bidi="ar-SA"/>
              </w:rPr>
              <w:t>1</w:t>
            </w:r>
          </w:p>
        </w:tc>
        <w:tc>
          <w:tcPr>
            <w:tcW w:w="711"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仿宋_GB2312" w:eastAsia="仿宋_GB2312" w:cs="仿宋_GB2312"/>
                <w:snapToGrid w:val="0"/>
                <w:color w:val="000000"/>
                <w:spacing w:val="4"/>
                <w:kern w:val="0"/>
                <w:sz w:val="19"/>
                <w:szCs w:val="19"/>
                <w:highlight w:val="none"/>
                <w:lang w:val="en-US" w:eastAsia="en-US" w:bidi="ar-SA"/>
              </w:rPr>
            </w:pPr>
            <w:r>
              <w:rPr>
                <w:rFonts w:hint="eastAsia" w:ascii="仿宋_GB2312" w:hAnsi="仿宋_GB2312" w:eastAsia="仿宋_GB2312" w:cs="仿宋_GB2312"/>
                <w:snapToGrid w:val="0"/>
                <w:color w:val="000000"/>
                <w:spacing w:val="4"/>
                <w:kern w:val="0"/>
                <w:sz w:val="19"/>
                <w:szCs w:val="19"/>
                <w:highlight w:val="none"/>
                <w:lang w:val="en-US" w:eastAsia="zh-CN" w:bidi="ar-SA"/>
              </w:rPr>
              <w:t>基础资质与经营条件</w:t>
            </w:r>
          </w:p>
        </w:tc>
        <w:tc>
          <w:tcPr>
            <w:tcW w:w="49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left"/>
              <w:textAlignment w:val="center"/>
              <w:rPr>
                <w:rFonts w:hint="eastAsia" w:ascii="仿宋_GB2312" w:hAnsi="仿宋_GB2312" w:eastAsia="仿宋_GB2312" w:cs="仿宋_GB2312"/>
                <w:snapToGrid w:val="0"/>
                <w:color w:val="000000"/>
                <w:spacing w:val="4"/>
                <w:kern w:val="0"/>
                <w:sz w:val="19"/>
                <w:szCs w:val="19"/>
                <w:highlight w:val="none"/>
                <w:lang w:val="en-US" w:eastAsia="en-US" w:bidi="ar-SA"/>
              </w:rPr>
            </w:pPr>
            <w:r>
              <w:rPr>
                <w:rFonts w:hint="eastAsia" w:ascii="仿宋_GB2312" w:hAnsi="仿宋_GB2312" w:eastAsia="仿宋_GB2312" w:cs="仿宋_GB2312"/>
                <w:snapToGrid w:val="0"/>
                <w:color w:val="000000"/>
                <w:spacing w:val="4"/>
                <w:kern w:val="0"/>
                <w:sz w:val="19"/>
                <w:szCs w:val="19"/>
                <w:highlight w:val="none"/>
                <w:lang w:val="en-US" w:eastAsia="zh-CN" w:bidi="ar-SA"/>
              </w:rPr>
              <w:t>1.在注册地址正式经营3个月及以上。</w:t>
            </w:r>
            <w:r>
              <w:rPr>
                <w:rFonts w:hint="eastAsia" w:ascii="仿宋_GB2312" w:hAnsi="仿宋_GB2312" w:eastAsia="仿宋_GB2312" w:cs="仿宋_GB2312"/>
                <w:snapToGrid w:val="0"/>
                <w:color w:val="000000"/>
                <w:spacing w:val="4"/>
                <w:kern w:val="0"/>
                <w:sz w:val="19"/>
                <w:szCs w:val="19"/>
                <w:highlight w:val="none"/>
                <w:lang w:val="en-US" w:eastAsia="zh-CN" w:bidi="ar-SA"/>
              </w:rPr>
              <w:br w:type="textWrapping"/>
            </w:r>
            <w:r>
              <w:rPr>
                <w:rFonts w:hint="eastAsia" w:ascii="仿宋_GB2312" w:hAnsi="仿宋_GB2312" w:eastAsia="仿宋_GB2312" w:cs="仿宋_GB2312"/>
                <w:snapToGrid w:val="0"/>
                <w:color w:val="000000"/>
                <w:spacing w:val="4"/>
                <w:kern w:val="0"/>
                <w:sz w:val="19"/>
                <w:szCs w:val="19"/>
                <w:highlight w:val="none"/>
                <w:lang w:val="en-US" w:eastAsia="zh-CN" w:bidi="ar-SA"/>
              </w:rPr>
              <w:t>2.与本单位工作人员依法建立劳动关系，按规定缴纳各项社会保险。</w:t>
            </w:r>
          </w:p>
        </w:tc>
        <w:tc>
          <w:tcPr>
            <w:tcW w:w="380"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snapToGrid w:val="0"/>
                <w:color w:val="000000"/>
                <w:spacing w:val="4"/>
                <w:kern w:val="0"/>
                <w:sz w:val="19"/>
                <w:szCs w:val="19"/>
                <w:highlight w:val="none"/>
                <w:lang w:val="en-US" w:eastAsia="zh-CN" w:bidi="ar-SA"/>
              </w:rPr>
              <w:t>□符合 □不符合</w:t>
            </w:r>
          </w:p>
        </w:tc>
        <w:tc>
          <w:tcPr>
            <w:tcW w:w="5491"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left"/>
              <w:textAlignment w:val="center"/>
              <w:rPr>
                <w:rFonts w:hint="eastAsia" w:ascii="仿宋_GB2312" w:hAnsi="仿宋_GB2312" w:eastAsia="仿宋_GB2312" w:cs="仿宋_GB2312"/>
                <w:snapToGrid w:val="0"/>
                <w:color w:val="000000"/>
                <w:spacing w:val="4"/>
                <w:kern w:val="0"/>
                <w:sz w:val="19"/>
                <w:szCs w:val="19"/>
                <w:highlight w:val="none"/>
                <w:lang w:val="en-US" w:eastAsia="zh-CN" w:bidi="ar-SA"/>
              </w:rPr>
            </w:pPr>
            <w:r>
              <w:rPr>
                <w:rFonts w:hint="eastAsia" w:ascii="仿宋_GB2312" w:hAnsi="仿宋_GB2312" w:eastAsia="仿宋_GB2312" w:cs="仿宋_GB2312"/>
                <w:snapToGrid w:val="0"/>
                <w:color w:val="000000"/>
                <w:spacing w:val="4"/>
                <w:kern w:val="0"/>
                <w:sz w:val="19"/>
                <w:szCs w:val="19"/>
                <w:highlight w:val="none"/>
                <w:lang w:val="en-US" w:eastAsia="zh-CN" w:bidi="ar-SA"/>
              </w:rPr>
              <w:t>提供《营业执照》正副本复印件、《药品经营许可证》正副本复印件、经营场所产权证明或有效期内的租赁合同复印件、经营场所内外清晰照片、申请前至少3个月的正式经营证明材料（如：连续3个月的纳税凭证或免税证明、药品销售记录或系统截图,水电费缴纳单据等辅助证明</w:t>
            </w:r>
            <w:r>
              <w:rPr>
                <w:rFonts w:hint="eastAsia" w:ascii="仿宋_GB2312" w:hAnsi="仿宋_GB2312" w:eastAsia="仿宋_GB2312" w:cs="仿宋_GB2312"/>
                <w:snapToGrid w:val="0"/>
                <w:color w:val="auto"/>
                <w:spacing w:val="4"/>
                <w:kern w:val="0"/>
                <w:sz w:val="19"/>
                <w:szCs w:val="19"/>
                <w:highlight w:val="none"/>
                <w:lang w:val="en-US" w:eastAsia="zh-CN" w:bidi="ar-SA"/>
              </w:rPr>
              <w:t>）、为本单位员工缴纳社会保险的凭证。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jc w:val="center"/>
        </w:trPr>
        <w:tc>
          <w:tcPr>
            <w:tcW w:w="23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仿宋_GB2312" w:eastAsia="仿宋_GB2312" w:cs="仿宋_GB2312"/>
                <w:snapToGrid w:val="0"/>
                <w:color w:val="000000"/>
                <w:spacing w:val="4"/>
                <w:kern w:val="0"/>
                <w:sz w:val="19"/>
                <w:szCs w:val="19"/>
                <w:highlight w:val="none"/>
                <w:lang w:val="en-US" w:eastAsia="zh-CN" w:bidi="ar-SA"/>
              </w:rPr>
            </w:pPr>
            <w:r>
              <w:rPr>
                <w:rFonts w:hint="eastAsia" w:ascii="仿宋_GB2312" w:hAnsi="仿宋_GB2312" w:eastAsia="仿宋_GB2312" w:cs="仿宋_GB2312"/>
                <w:snapToGrid w:val="0"/>
                <w:color w:val="000000"/>
                <w:spacing w:val="4"/>
                <w:kern w:val="0"/>
                <w:sz w:val="19"/>
                <w:szCs w:val="19"/>
                <w:highlight w:val="none"/>
                <w:lang w:val="en-US" w:eastAsia="zh-CN" w:bidi="ar-SA"/>
              </w:rPr>
              <w:t>2</w:t>
            </w:r>
          </w:p>
        </w:tc>
        <w:tc>
          <w:tcPr>
            <w:tcW w:w="711"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仿宋_GB2312" w:eastAsia="仿宋_GB2312" w:cs="仿宋_GB2312"/>
                <w:snapToGrid w:val="0"/>
                <w:color w:val="000000"/>
                <w:spacing w:val="4"/>
                <w:kern w:val="0"/>
                <w:sz w:val="19"/>
                <w:szCs w:val="19"/>
                <w:highlight w:val="none"/>
                <w:lang w:val="en-US" w:eastAsia="en-US" w:bidi="ar-SA"/>
              </w:rPr>
            </w:pPr>
            <w:r>
              <w:rPr>
                <w:rFonts w:hint="eastAsia" w:ascii="仿宋_GB2312" w:hAnsi="仿宋_GB2312" w:eastAsia="仿宋_GB2312" w:cs="仿宋_GB2312"/>
                <w:snapToGrid w:val="0"/>
                <w:color w:val="000000"/>
                <w:spacing w:val="4"/>
                <w:kern w:val="0"/>
                <w:sz w:val="19"/>
                <w:szCs w:val="19"/>
                <w:highlight w:val="none"/>
                <w:lang w:val="en-US" w:eastAsia="zh-CN" w:bidi="ar-SA"/>
              </w:rPr>
              <w:t>专业及管理人员配置</w:t>
            </w:r>
          </w:p>
        </w:tc>
        <w:tc>
          <w:tcPr>
            <w:tcW w:w="49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left"/>
              <w:textAlignment w:val="center"/>
              <w:rPr>
                <w:rFonts w:hint="eastAsia" w:ascii="仿宋_GB2312" w:hAnsi="仿宋_GB2312" w:eastAsia="仿宋_GB2312" w:cs="仿宋_GB2312"/>
                <w:snapToGrid w:val="0"/>
                <w:color w:val="000000"/>
                <w:spacing w:val="4"/>
                <w:kern w:val="0"/>
                <w:sz w:val="19"/>
                <w:szCs w:val="19"/>
                <w:highlight w:val="none"/>
                <w:lang w:val="en-US" w:eastAsia="en-US" w:bidi="ar-SA"/>
              </w:rPr>
            </w:pPr>
            <w:r>
              <w:rPr>
                <w:rFonts w:hint="eastAsia" w:ascii="仿宋_GB2312" w:hAnsi="仿宋_GB2312" w:eastAsia="仿宋_GB2312" w:cs="仿宋_GB2312"/>
                <w:snapToGrid w:val="0"/>
                <w:color w:val="000000"/>
                <w:spacing w:val="4"/>
                <w:kern w:val="0"/>
                <w:sz w:val="19"/>
                <w:szCs w:val="19"/>
                <w:highlight w:val="none"/>
                <w:lang w:val="en-US" w:eastAsia="zh-CN" w:bidi="ar-SA"/>
              </w:rPr>
              <w:t>3.至少有1名取得执业药师资格证书或具有药学、临床药学、中药学专业技术资格证书的药师，且注册地在该零售药店所在地，药师须签订1年以上劳动合同且在合同期内。</w:t>
            </w:r>
            <w:r>
              <w:rPr>
                <w:rFonts w:hint="eastAsia" w:ascii="仿宋_GB2312" w:hAnsi="仿宋_GB2312" w:eastAsia="仿宋_GB2312" w:cs="仿宋_GB2312"/>
                <w:snapToGrid w:val="0"/>
                <w:color w:val="000000"/>
                <w:spacing w:val="4"/>
                <w:kern w:val="0"/>
                <w:sz w:val="19"/>
                <w:szCs w:val="19"/>
                <w:highlight w:val="none"/>
                <w:lang w:val="en-US" w:eastAsia="zh-CN" w:bidi="ar-SA"/>
              </w:rPr>
              <w:br w:type="textWrapping"/>
            </w:r>
            <w:r>
              <w:rPr>
                <w:rFonts w:hint="eastAsia" w:ascii="仿宋_GB2312" w:hAnsi="仿宋_GB2312" w:eastAsia="仿宋_GB2312" w:cs="仿宋_GB2312"/>
                <w:snapToGrid w:val="0"/>
                <w:color w:val="000000"/>
                <w:spacing w:val="4"/>
                <w:kern w:val="0"/>
                <w:sz w:val="19"/>
                <w:szCs w:val="19"/>
                <w:highlight w:val="none"/>
                <w:lang w:val="en-US" w:eastAsia="zh-CN" w:bidi="ar-SA"/>
              </w:rPr>
              <w:t>4.至少有2名熟悉医疗保障法律法规和相关制度规定的专（兼）职医保管理人员负责管理医保费用，并签订1年以上劳动合同且在合同期内。</w:t>
            </w:r>
          </w:p>
        </w:tc>
        <w:tc>
          <w:tcPr>
            <w:tcW w:w="380"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snapToGrid w:val="0"/>
                <w:color w:val="000000"/>
                <w:spacing w:val="4"/>
                <w:kern w:val="0"/>
                <w:sz w:val="19"/>
                <w:szCs w:val="19"/>
                <w:highlight w:val="none"/>
                <w:lang w:val="en-US" w:eastAsia="zh-CN" w:bidi="ar-SA"/>
              </w:rPr>
              <w:t>□符合 □不符合</w:t>
            </w:r>
          </w:p>
        </w:tc>
        <w:tc>
          <w:tcPr>
            <w:tcW w:w="5491"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left"/>
              <w:textAlignment w:val="center"/>
              <w:rPr>
                <w:rFonts w:hint="eastAsia" w:ascii="仿宋_GB2312" w:hAnsi="仿宋_GB2312" w:eastAsia="仿宋_GB2312" w:cs="仿宋_GB2312"/>
                <w:snapToGrid w:val="0"/>
                <w:color w:val="000000"/>
                <w:spacing w:val="4"/>
                <w:kern w:val="0"/>
                <w:sz w:val="19"/>
                <w:szCs w:val="19"/>
                <w:highlight w:val="none"/>
                <w:lang w:val="en-US" w:eastAsia="zh-CN" w:bidi="ar-SA"/>
              </w:rPr>
            </w:pPr>
            <w:r>
              <w:rPr>
                <w:rFonts w:hint="eastAsia" w:ascii="仿宋_GB2312" w:hAnsi="仿宋_GB2312" w:eastAsia="仿宋_GB2312" w:cs="仿宋_GB2312"/>
                <w:snapToGrid w:val="0"/>
                <w:color w:val="000000"/>
                <w:spacing w:val="4"/>
                <w:kern w:val="0"/>
                <w:sz w:val="19"/>
                <w:szCs w:val="19"/>
                <w:highlight w:val="none"/>
                <w:lang w:val="en-US" w:eastAsia="zh-CN" w:bidi="ar-SA"/>
              </w:rPr>
              <w:t>执业药师资格证书或药学/中药学专业技术资格证书复印件、在本店的《执业药师注册证》复印件（注册地必须匹配）、与该药师签订的有效期一年以上的劳动合同复印件、该药师的身份证复印件、至少2名医保管理人员的身份证复印件及与其签订的有效期一年以上的劳动合同复印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0" w:hRule="atLeast"/>
          <w:jc w:val="center"/>
        </w:trPr>
        <w:tc>
          <w:tcPr>
            <w:tcW w:w="23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仿宋_GB2312" w:eastAsia="仿宋_GB2312" w:cs="仿宋_GB2312"/>
                <w:snapToGrid w:val="0"/>
                <w:color w:val="000000"/>
                <w:spacing w:val="4"/>
                <w:kern w:val="0"/>
                <w:sz w:val="19"/>
                <w:szCs w:val="19"/>
                <w:highlight w:val="none"/>
                <w:lang w:val="en-US" w:eastAsia="zh-CN" w:bidi="ar-SA"/>
              </w:rPr>
            </w:pPr>
            <w:r>
              <w:rPr>
                <w:rFonts w:hint="eastAsia" w:ascii="仿宋_GB2312" w:hAnsi="仿宋_GB2312" w:eastAsia="仿宋_GB2312" w:cs="仿宋_GB2312"/>
                <w:snapToGrid w:val="0"/>
                <w:color w:val="000000"/>
                <w:spacing w:val="4"/>
                <w:kern w:val="0"/>
                <w:sz w:val="19"/>
                <w:szCs w:val="19"/>
                <w:highlight w:val="none"/>
                <w:lang w:val="en-US" w:eastAsia="zh-CN" w:bidi="ar-SA"/>
              </w:rPr>
              <w:t>3</w:t>
            </w:r>
          </w:p>
        </w:tc>
        <w:tc>
          <w:tcPr>
            <w:tcW w:w="711"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仿宋_GB2312" w:eastAsia="仿宋_GB2312" w:cs="仿宋_GB2312"/>
                <w:snapToGrid w:val="0"/>
                <w:color w:val="000000"/>
                <w:spacing w:val="4"/>
                <w:kern w:val="0"/>
                <w:sz w:val="19"/>
                <w:szCs w:val="19"/>
                <w:highlight w:val="none"/>
                <w:lang w:val="en-US" w:eastAsia="en-US" w:bidi="ar-SA"/>
              </w:rPr>
            </w:pPr>
            <w:r>
              <w:rPr>
                <w:rFonts w:hint="eastAsia" w:ascii="仿宋_GB2312" w:hAnsi="仿宋_GB2312" w:eastAsia="仿宋_GB2312" w:cs="仿宋_GB2312"/>
                <w:snapToGrid w:val="0"/>
                <w:color w:val="000000"/>
                <w:spacing w:val="4"/>
                <w:kern w:val="0"/>
                <w:sz w:val="19"/>
                <w:szCs w:val="19"/>
                <w:highlight w:val="none"/>
                <w:lang w:val="en-US" w:eastAsia="zh-CN" w:bidi="ar-SA"/>
              </w:rPr>
              <w:t>内部管理制度</w:t>
            </w:r>
          </w:p>
        </w:tc>
        <w:tc>
          <w:tcPr>
            <w:tcW w:w="49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left"/>
              <w:textAlignment w:val="center"/>
              <w:rPr>
                <w:rFonts w:hint="eastAsia" w:ascii="仿宋_GB2312" w:hAnsi="仿宋_GB2312" w:eastAsia="仿宋_GB2312" w:cs="仿宋_GB2312"/>
                <w:snapToGrid w:val="0"/>
                <w:color w:val="000000"/>
                <w:spacing w:val="4"/>
                <w:kern w:val="0"/>
                <w:sz w:val="19"/>
                <w:szCs w:val="19"/>
                <w:highlight w:val="none"/>
                <w:lang w:val="en-US" w:eastAsia="en-US" w:bidi="ar-SA"/>
              </w:rPr>
            </w:pPr>
            <w:r>
              <w:rPr>
                <w:rFonts w:hint="eastAsia" w:ascii="仿宋_GB2312" w:hAnsi="仿宋_GB2312" w:eastAsia="仿宋_GB2312" w:cs="仿宋_GB2312"/>
                <w:snapToGrid w:val="0"/>
                <w:color w:val="000000"/>
                <w:spacing w:val="4"/>
                <w:kern w:val="0"/>
                <w:sz w:val="19"/>
                <w:szCs w:val="19"/>
                <w:highlight w:val="none"/>
                <w:lang w:val="en-US" w:eastAsia="zh-CN" w:bidi="ar-SA"/>
              </w:rPr>
              <w:t>5.按药品经营质量管理规范要求，开展药品分类分区管理，并对所售药品设立明确的医保用药标识。</w:t>
            </w:r>
            <w:r>
              <w:rPr>
                <w:rFonts w:hint="eastAsia" w:ascii="仿宋_GB2312" w:hAnsi="仿宋_GB2312" w:eastAsia="仿宋_GB2312" w:cs="仿宋_GB2312"/>
                <w:snapToGrid w:val="0"/>
                <w:color w:val="000000"/>
                <w:spacing w:val="4"/>
                <w:kern w:val="0"/>
                <w:sz w:val="19"/>
                <w:szCs w:val="19"/>
                <w:highlight w:val="none"/>
                <w:lang w:val="en-US" w:eastAsia="zh-CN" w:bidi="ar-SA"/>
              </w:rPr>
              <w:br w:type="textWrapping"/>
            </w:r>
            <w:r>
              <w:rPr>
                <w:rFonts w:hint="eastAsia" w:ascii="仿宋_GB2312" w:hAnsi="仿宋_GB2312" w:eastAsia="仿宋_GB2312" w:cs="仿宋_GB2312"/>
                <w:snapToGrid w:val="0"/>
                <w:color w:val="000000"/>
                <w:spacing w:val="4"/>
                <w:kern w:val="0"/>
                <w:sz w:val="19"/>
                <w:szCs w:val="19"/>
                <w:highlight w:val="none"/>
                <w:lang w:val="en-US" w:eastAsia="zh-CN" w:bidi="ar-SA"/>
              </w:rPr>
              <w:t>6.有健全完善且与医疗保险政策相适应的内部管理制度。</w:t>
            </w:r>
            <w:r>
              <w:rPr>
                <w:rFonts w:hint="eastAsia" w:ascii="仿宋_GB2312" w:hAnsi="仿宋_GB2312" w:eastAsia="仿宋_GB2312" w:cs="仿宋_GB2312"/>
                <w:snapToGrid w:val="0"/>
                <w:color w:val="000000"/>
                <w:spacing w:val="4"/>
                <w:kern w:val="0"/>
                <w:sz w:val="19"/>
                <w:szCs w:val="19"/>
                <w:highlight w:val="none"/>
                <w:lang w:val="en-US" w:eastAsia="zh-CN" w:bidi="ar-SA"/>
              </w:rPr>
              <w:br w:type="textWrapping"/>
            </w:r>
            <w:r>
              <w:rPr>
                <w:rFonts w:hint="eastAsia" w:ascii="仿宋_GB2312" w:hAnsi="仿宋_GB2312" w:eastAsia="仿宋_GB2312" w:cs="仿宋_GB2312"/>
                <w:snapToGrid w:val="0"/>
                <w:color w:val="000000"/>
                <w:spacing w:val="4"/>
                <w:kern w:val="0"/>
                <w:sz w:val="19"/>
                <w:szCs w:val="19"/>
                <w:highlight w:val="none"/>
                <w:lang w:val="en-US" w:eastAsia="zh-CN" w:bidi="ar-SA"/>
              </w:rPr>
              <w:t>7.财务管理制度健全。</w:t>
            </w:r>
          </w:p>
        </w:tc>
        <w:tc>
          <w:tcPr>
            <w:tcW w:w="380"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snapToGrid w:val="0"/>
                <w:color w:val="000000"/>
                <w:spacing w:val="4"/>
                <w:kern w:val="0"/>
                <w:sz w:val="19"/>
                <w:szCs w:val="19"/>
                <w:highlight w:val="none"/>
                <w:lang w:val="en-US" w:eastAsia="zh-CN" w:bidi="ar-SA"/>
              </w:rPr>
              <w:t>□符合 □不符合</w:t>
            </w:r>
          </w:p>
        </w:tc>
        <w:tc>
          <w:tcPr>
            <w:tcW w:w="5491"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left"/>
              <w:textAlignment w:val="center"/>
              <w:rPr>
                <w:rFonts w:hint="eastAsia" w:ascii="仿宋_GB2312" w:hAnsi="仿宋_GB2312" w:eastAsia="仿宋_GB2312" w:cs="仿宋_GB2312"/>
                <w:snapToGrid w:val="0"/>
                <w:color w:val="000000"/>
                <w:spacing w:val="4"/>
                <w:kern w:val="0"/>
                <w:sz w:val="19"/>
                <w:szCs w:val="19"/>
                <w:highlight w:val="none"/>
                <w:lang w:val="en-US" w:eastAsia="zh-CN" w:bidi="ar-SA"/>
              </w:rPr>
            </w:pPr>
            <w:r>
              <w:rPr>
                <w:rFonts w:hint="eastAsia" w:ascii="仿宋_GB2312" w:hAnsi="仿宋_GB2312" w:eastAsia="仿宋_GB2312" w:cs="仿宋_GB2312"/>
                <w:snapToGrid w:val="0"/>
                <w:color w:val="000000"/>
                <w:spacing w:val="4"/>
                <w:kern w:val="0"/>
                <w:sz w:val="19"/>
                <w:szCs w:val="19"/>
                <w:highlight w:val="none"/>
                <w:lang w:val="en-US" w:eastAsia="zh-CN" w:bidi="ar-SA"/>
              </w:rPr>
              <w:t>店内处方药区、非处方药区、中药饮片区、医疗器械区等清晰照片，内部管理制度相关材料，财务管理制度、专职财务人员任职文件或聘任合同，查看会计凭证、账簿、财务报表等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65" w:hRule="atLeast"/>
          <w:jc w:val="center"/>
        </w:trPr>
        <w:tc>
          <w:tcPr>
            <w:tcW w:w="23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仿宋_GB2312" w:eastAsia="仿宋_GB2312" w:cs="仿宋_GB2312"/>
                <w:snapToGrid w:val="0"/>
                <w:color w:val="000000"/>
                <w:spacing w:val="4"/>
                <w:kern w:val="0"/>
                <w:sz w:val="19"/>
                <w:szCs w:val="19"/>
                <w:highlight w:val="none"/>
                <w:lang w:val="en-US" w:eastAsia="zh-CN" w:bidi="ar-SA"/>
              </w:rPr>
            </w:pPr>
            <w:r>
              <w:rPr>
                <w:rFonts w:hint="eastAsia" w:ascii="仿宋_GB2312" w:hAnsi="仿宋_GB2312" w:eastAsia="仿宋_GB2312" w:cs="仿宋_GB2312"/>
                <w:snapToGrid w:val="0"/>
                <w:color w:val="000000"/>
                <w:spacing w:val="4"/>
                <w:kern w:val="0"/>
                <w:sz w:val="19"/>
                <w:szCs w:val="19"/>
                <w:highlight w:val="none"/>
                <w:lang w:val="en-US" w:eastAsia="zh-CN" w:bidi="ar-SA"/>
              </w:rPr>
              <w:t>4</w:t>
            </w:r>
          </w:p>
        </w:tc>
        <w:tc>
          <w:tcPr>
            <w:tcW w:w="711"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仿宋_GB2312" w:eastAsia="仿宋_GB2312" w:cs="仿宋_GB2312"/>
                <w:snapToGrid w:val="0"/>
                <w:color w:val="000000"/>
                <w:spacing w:val="4"/>
                <w:kern w:val="0"/>
                <w:sz w:val="19"/>
                <w:szCs w:val="19"/>
                <w:highlight w:val="none"/>
                <w:lang w:val="en-US" w:eastAsia="zh-CN" w:bidi="ar-SA"/>
              </w:rPr>
            </w:pPr>
            <w:r>
              <w:rPr>
                <w:rFonts w:hint="eastAsia" w:ascii="仿宋_GB2312" w:hAnsi="仿宋_GB2312" w:eastAsia="仿宋_GB2312" w:cs="仿宋_GB2312"/>
                <w:snapToGrid w:val="0"/>
                <w:color w:val="000000"/>
                <w:spacing w:val="4"/>
                <w:kern w:val="0"/>
                <w:sz w:val="19"/>
                <w:szCs w:val="19"/>
                <w:highlight w:val="none"/>
                <w:lang w:val="en-US" w:eastAsia="zh-CN" w:bidi="ar-SA"/>
              </w:rPr>
              <w:t>信息系统与数据管理能力</w:t>
            </w:r>
          </w:p>
        </w:tc>
        <w:tc>
          <w:tcPr>
            <w:tcW w:w="49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90" w:lineRule="exact"/>
              <w:jc w:val="left"/>
              <w:textAlignment w:val="center"/>
              <w:rPr>
                <w:rFonts w:hint="eastAsia" w:ascii="仿宋_GB2312" w:hAnsi="仿宋_GB2312" w:eastAsia="仿宋_GB2312" w:cs="仿宋_GB2312"/>
                <w:snapToGrid w:val="0"/>
                <w:color w:val="000000"/>
                <w:spacing w:val="4"/>
                <w:kern w:val="0"/>
                <w:sz w:val="19"/>
                <w:szCs w:val="19"/>
                <w:highlight w:val="none"/>
                <w:lang w:val="en-US" w:eastAsia="zh-CN" w:bidi="ar-SA"/>
              </w:rPr>
            </w:pPr>
            <w:r>
              <w:rPr>
                <w:rFonts w:hint="eastAsia" w:ascii="仿宋_GB2312" w:hAnsi="仿宋_GB2312" w:eastAsia="仿宋_GB2312" w:cs="仿宋_GB2312"/>
                <w:snapToGrid w:val="0"/>
                <w:color w:val="000000"/>
                <w:spacing w:val="4"/>
                <w:kern w:val="0"/>
                <w:sz w:val="19"/>
                <w:szCs w:val="19"/>
                <w:highlight w:val="none"/>
                <w:lang w:val="en-US" w:eastAsia="zh-CN" w:bidi="ar-SA"/>
              </w:rPr>
              <w:t>8.配备、使用完善的药品等“进销存”管理系统。</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90" w:lineRule="exact"/>
              <w:ind w:left="0" w:leftChars="0" w:firstLine="0" w:firstLineChars="0"/>
              <w:jc w:val="left"/>
              <w:textAlignment w:val="center"/>
              <w:rPr>
                <w:rFonts w:hint="eastAsia" w:ascii="仿宋_GB2312" w:hAnsi="仿宋_GB2312" w:eastAsia="仿宋_GB2312" w:cs="仿宋_GB2312"/>
                <w:snapToGrid w:val="0"/>
                <w:color w:val="000000"/>
                <w:spacing w:val="4"/>
                <w:kern w:val="0"/>
                <w:sz w:val="19"/>
                <w:szCs w:val="19"/>
                <w:highlight w:val="none"/>
                <w:lang w:val="en-US" w:eastAsia="zh-CN" w:bidi="ar-SA"/>
              </w:rPr>
            </w:pPr>
            <w:r>
              <w:rPr>
                <w:rFonts w:hint="eastAsia" w:ascii="仿宋_GB2312" w:hAnsi="仿宋_GB2312" w:eastAsia="仿宋_GB2312" w:cs="仿宋_GB2312"/>
                <w:snapToGrid w:val="0"/>
                <w:color w:val="000000"/>
                <w:spacing w:val="4"/>
                <w:kern w:val="0"/>
                <w:sz w:val="19"/>
                <w:szCs w:val="19"/>
                <w:highlight w:val="none"/>
                <w:lang w:val="en-US" w:eastAsia="zh-CN" w:bidi="ar-SA"/>
              </w:rPr>
              <w:t>9.配备、使用符合医疗保险联网结算和智能监控要求的计算机管理系统。</w:t>
            </w:r>
          </w:p>
        </w:tc>
        <w:tc>
          <w:tcPr>
            <w:tcW w:w="380"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仿宋_GB2312" w:eastAsia="仿宋_GB2312" w:cs="仿宋_GB2312"/>
                <w:snapToGrid w:val="0"/>
                <w:color w:val="000000"/>
                <w:spacing w:val="4"/>
                <w:kern w:val="0"/>
                <w:sz w:val="19"/>
                <w:szCs w:val="19"/>
                <w:highlight w:val="none"/>
                <w:lang w:val="en-US" w:eastAsia="zh-CN" w:bidi="ar-SA"/>
              </w:rPr>
            </w:pPr>
            <w:r>
              <w:rPr>
                <w:rFonts w:hint="eastAsia" w:ascii="仿宋_GB2312" w:hAnsi="仿宋_GB2312" w:eastAsia="仿宋_GB2312" w:cs="仿宋_GB2312"/>
                <w:snapToGrid w:val="0"/>
                <w:color w:val="000000"/>
                <w:spacing w:val="4"/>
                <w:kern w:val="0"/>
                <w:sz w:val="19"/>
                <w:szCs w:val="19"/>
                <w:highlight w:val="none"/>
                <w:lang w:val="en-US" w:eastAsia="zh-CN" w:bidi="ar-SA"/>
              </w:rPr>
              <w:t>□符合 □不符合</w:t>
            </w:r>
          </w:p>
        </w:tc>
        <w:tc>
          <w:tcPr>
            <w:tcW w:w="5491"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left"/>
              <w:textAlignment w:val="center"/>
              <w:rPr>
                <w:rFonts w:hint="eastAsia" w:ascii="仿宋_GB2312" w:hAnsi="仿宋_GB2312" w:eastAsia="仿宋_GB2312" w:cs="仿宋_GB2312"/>
                <w:snapToGrid w:val="0"/>
                <w:color w:val="000000"/>
                <w:spacing w:val="4"/>
                <w:kern w:val="0"/>
                <w:sz w:val="19"/>
                <w:szCs w:val="19"/>
                <w:highlight w:val="none"/>
                <w:lang w:val="en-US" w:eastAsia="zh-CN" w:bidi="ar-SA"/>
              </w:rPr>
            </w:pPr>
            <w:r>
              <w:rPr>
                <w:rFonts w:hint="eastAsia" w:ascii="仿宋_GB2312" w:hAnsi="仿宋_GB2312" w:eastAsia="仿宋_GB2312" w:cs="仿宋_GB2312"/>
                <w:snapToGrid w:val="0"/>
                <w:color w:val="000000"/>
                <w:spacing w:val="4"/>
                <w:kern w:val="0"/>
                <w:sz w:val="19"/>
                <w:szCs w:val="19"/>
                <w:highlight w:val="none"/>
                <w:lang w:val="en-US" w:eastAsia="zh-CN" w:bidi="ar-SA"/>
              </w:rPr>
              <w:t>近半年（正式运营不满半年的，以正式运营时间为准）“进销存 ”系统导出进销存台账；购进药品、耗材合法票据的复印件及清单；现场查看情况、熟练操作情况。保存真实完整的购进和销售记录，有“进销存”台账。能够按照监控管理要求，联网并实时上传医疗保险服务相关原始数据，并保证上传数据的真实性和完整性。具备建立医保药品等基础数据库及按规定使用国家统一医保编码的条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5000" w:type="pct"/>
            <w:gridSpan w:val="8"/>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方正黑体_GBK" w:hAnsi="方正黑体_GBK" w:eastAsia="方正黑体_GBK" w:cs="方正黑体_GBK"/>
                <w:i w:val="0"/>
                <w:iCs w:val="0"/>
                <w:snapToGrid w:val="0"/>
                <w:color w:val="000000"/>
                <w:kern w:val="0"/>
                <w:sz w:val="22"/>
                <w:szCs w:val="22"/>
                <w:highlight w:val="none"/>
                <w:u w:val="none"/>
                <w:lang w:val="en-US" w:eastAsia="zh-CN" w:bidi="ar"/>
              </w:rPr>
              <w:t>评 分 项 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5" w:hRule="atLeast"/>
          <w:jc w:val="center"/>
        </w:trPr>
        <w:tc>
          <w:tcPr>
            <w:tcW w:w="238" w:type="pct"/>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仿宋_GB2312" w:eastAsia="仿宋_GB2312" w:cs="仿宋_GB2312"/>
                <w:b/>
                <w:bCs/>
                <w:i w:val="0"/>
                <w:iCs w:val="0"/>
                <w:color w:val="000000"/>
                <w:sz w:val="21"/>
                <w:szCs w:val="21"/>
                <w:highlight w:val="none"/>
                <w:u w:val="none"/>
              </w:rPr>
            </w:pPr>
            <w:r>
              <w:rPr>
                <w:rFonts w:hint="eastAsia" w:ascii="仿宋_GB2312" w:hAnsi="仿宋_GB2312" w:eastAsia="仿宋_GB2312" w:cs="仿宋_GB2312"/>
                <w:b/>
                <w:bCs/>
                <w:i w:val="0"/>
                <w:iCs w:val="0"/>
                <w:snapToGrid w:val="0"/>
                <w:color w:val="000000"/>
                <w:kern w:val="0"/>
                <w:sz w:val="21"/>
                <w:szCs w:val="21"/>
                <w:highlight w:val="none"/>
                <w:u w:val="none"/>
                <w:lang w:val="en-US" w:eastAsia="zh-CN" w:bidi="ar"/>
              </w:rPr>
              <w:t>序号</w:t>
            </w:r>
          </w:p>
        </w:tc>
        <w:tc>
          <w:tcPr>
            <w:tcW w:w="70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仿宋_GB2312" w:eastAsia="仿宋_GB2312" w:cs="仿宋_GB2312"/>
                <w:b/>
                <w:bCs/>
                <w:i w:val="0"/>
                <w:iCs w:val="0"/>
                <w:color w:val="000000"/>
                <w:sz w:val="21"/>
                <w:szCs w:val="21"/>
                <w:highlight w:val="none"/>
                <w:u w:val="none"/>
              </w:rPr>
            </w:pPr>
            <w:r>
              <w:rPr>
                <w:rFonts w:hint="eastAsia" w:ascii="仿宋_GB2312" w:hAnsi="仿宋_GB2312" w:eastAsia="仿宋_GB2312" w:cs="仿宋_GB2312"/>
                <w:b/>
                <w:bCs/>
                <w:i w:val="0"/>
                <w:iCs w:val="0"/>
                <w:snapToGrid w:val="0"/>
                <w:color w:val="000000"/>
                <w:kern w:val="0"/>
                <w:sz w:val="21"/>
                <w:szCs w:val="21"/>
                <w:highlight w:val="none"/>
                <w:u w:val="none"/>
                <w:lang w:val="en-US" w:eastAsia="zh-CN" w:bidi="ar"/>
              </w:rPr>
              <w:t>评分项目</w:t>
            </w:r>
          </w:p>
        </w:tc>
        <w:tc>
          <w:tcPr>
            <w:tcW w:w="173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仿宋_GB2312" w:eastAsia="仿宋_GB2312" w:cs="仿宋_GB2312"/>
                <w:b/>
                <w:bCs/>
                <w:i w:val="0"/>
                <w:iCs w:val="0"/>
                <w:color w:val="000000"/>
                <w:sz w:val="21"/>
                <w:szCs w:val="21"/>
                <w:highlight w:val="none"/>
                <w:u w:val="none"/>
              </w:rPr>
            </w:pPr>
            <w:r>
              <w:rPr>
                <w:rFonts w:hint="eastAsia" w:ascii="仿宋_GB2312" w:hAnsi="仿宋_GB2312" w:eastAsia="仿宋_GB2312" w:cs="仿宋_GB2312"/>
                <w:b/>
                <w:bCs/>
                <w:i w:val="0"/>
                <w:iCs w:val="0"/>
                <w:snapToGrid w:val="0"/>
                <w:color w:val="000000"/>
                <w:kern w:val="0"/>
                <w:sz w:val="21"/>
                <w:szCs w:val="21"/>
                <w:highlight w:val="none"/>
                <w:u w:val="none"/>
                <w:lang w:val="en-US" w:eastAsia="zh-CN" w:bidi="ar"/>
              </w:rPr>
              <w:t>评分标准</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仿宋_GB2312" w:eastAsia="仿宋_GB2312" w:cs="仿宋_GB2312"/>
                <w:b/>
                <w:bCs/>
                <w:i w:val="0"/>
                <w:iCs w:val="0"/>
                <w:color w:val="000000"/>
                <w:sz w:val="21"/>
                <w:szCs w:val="21"/>
                <w:highlight w:val="none"/>
                <w:u w:val="none"/>
              </w:rPr>
            </w:pPr>
            <w:r>
              <w:rPr>
                <w:rFonts w:hint="eastAsia" w:ascii="仿宋_GB2312" w:hAnsi="仿宋_GB2312" w:eastAsia="仿宋_GB2312" w:cs="仿宋_GB2312"/>
                <w:b/>
                <w:bCs/>
                <w:i w:val="0"/>
                <w:iCs w:val="0"/>
                <w:snapToGrid w:val="0"/>
                <w:color w:val="000000"/>
                <w:kern w:val="0"/>
                <w:sz w:val="21"/>
                <w:szCs w:val="21"/>
                <w:highlight w:val="none"/>
                <w:u w:val="none"/>
                <w:lang w:val="en-US" w:eastAsia="zh-CN" w:bidi="ar"/>
              </w:rPr>
              <w:t>分值</w:t>
            </w:r>
          </w:p>
        </w:tc>
        <w:tc>
          <w:tcPr>
            <w:tcW w:w="331" w:type="pct"/>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仿宋_GB2312" w:eastAsia="仿宋_GB2312" w:cs="仿宋_GB2312"/>
                <w:b/>
                <w:bCs/>
                <w:i w:val="0"/>
                <w:iCs w:val="0"/>
                <w:color w:val="000000"/>
                <w:sz w:val="21"/>
                <w:szCs w:val="21"/>
                <w:highlight w:val="none"/>
                <w:u w:val="none"/>
              </w:rPr>
            </w:pPr>
            <w:r>
              <w:rPr>
                <w:rFonts w:hint="eastAsia" w:ascii="仿宋_GB2312" w:hAnsi="仿宋_GB2312" w:eastAsia="仿宋_GB2312" w:cs="仿宋_GB2312"/>
                <w:b/>
                <w:bCs/>
                <w:i w:val="0"/>
                <w:iCs w:val="0"/>
                <w:snapToGrid w:val="0"/>
                <w:color w:val="000000"/>
                <w:kern w:val="0"/>
                <w:sz w:val="21"/>
                <w:szCs w:val="21"/>
                <w:highlight w:val="none"/>
                <w:u w:val="none"/>
                <w:lang w:val="en-US" w:eastAsia="zh-CN" w:bidi="ar"/>
              </w:rPr>
              <w:t>得分</w:t>
            </w:r>
          </w:p>
        </w:tc>
        <w:tc>
          <w:tcPr>
            <w:tcW w:w="166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仿宋_GB2312" w:eastAsia="仿宋_GB2312" w:cs="仿宋_GB2312"/>
                <w:b/>
                <w:bCs/>
                <w:i w:val="0"/>
                <w:iCs w:val="0"/>
                <w:color w:val="000000"/>
                <w:sz w:val="21"/>
                <w:szCs w:val="21"/>
                <w:highlight w:val="none"/>
                <w:u w:val="none"/>
              </w:rPr>
            </w:pPr>
            <w:r>
              <w:rPr>
                <w:rFonts w:hint="eastAsia" w:ascii="仿宋_GB2312" w:hAnsi="仿宋_GB2312" w:eastAsia="仿宋_GB2312" w:cs="仿宋_GB2312"/>
                <w:b/>
                <w:bCs/>
                <w:i w:val="0"/>
                <w:iCs w:val="0"/>
                <w:snapToGrid w:val="0"/>
                <w:color w:val="000000"/>
                <w:kern w:val="0"/>
                <w:sz w:val="21"/>
                <w:szCs w:val="21"/>
                <w:highlight w:val="none"/>
                <w:u w:val="none"/>
                <w:lang w:val="en-US" w:eastAsia="zh-CN" w:bidi="ar"/>
              </w:rPr>
              <w:t>需提交相关证明材料及考核办法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6" w:hRule="atLeast"/>
          <w:jc w:val="center"/>
        </w:trPr>
        <w:tc>
          <w:tcPr>
            <w:tcW w:w="238"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仿宋_GB2312" w:eastAsia="仿宋_GB2312" w:cs="仿宋_GB2312"/>
                <w:snapToGrid w:val="0"/>
                <w:color w:val="000000"/>
                <w:spacing w:val="4"/>
                <w:kern w:val="0"/>
                <w:sz w:val="19"/>
                <w:szCs w:val="19"/>
                <w:highlight w:val="none"/>
                <w:lang w:val="en-US" w:eastAsia="zh-CN" w:bidi="ar-SA"/>
              </w:rPr>
            </w:pPr>
            <w:r>
              <w:rPr>
                <w:rFonts w:hint="eastAsia" w:ascii="仿宋_GB2312" w:hAnsi="仿宋_GB2312" w:eastAsia="仿宋_GB2312" w:cs="仿宋_GB2312"/>
                <w:snapToGrid w:val="0"/>
                <w:color w:val="000000"/>
                <w:spacing w:val="4"/>
                <w:kern w:val="0"/>
                <w:sz w:val="19"/>
                <w:szCs w:val="19"/>
                <w:highlight w:val="none"/>
                <w:lang w:val="en-US" w:eastAsia="zh-CN" w:bidi="ar-SA"/>
              </w:rPr>
              <w:t>1</w:t>
            </w:r>
          </w:p>
        </w:tc>
        <w:tc>
          <w:tcPr>
            <w:tcW w:w="70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仿宋_GB2312" w:eastAsia="仿宋_GB2312" w:cs="仿宋_GB2312"/>
                <w:snapToGrid w:val="0"/>
                <w:color w:val="000000"/>
                <w:spacing w:val="4"/>
                <w:kern w:val="0"/>
                <w:sz w:val="19"/>
                <w:szCs w:val="19"/>
                <w:highlight w:val="none"/>
                <w:lang w:val="en-US" w:eastAsia="zh-CN" w:bidi="ar-SA"/>
              </w:rPr>
            </w:pPr>
            <w:r>
              <w:rPr>
                <w:rFonts w:hint="eastAsia" w:ascii="仿宋_GB2312" w:hAnsi="仿宋_GB2312" w:eastAsia="仿宋_GB2312" w:cs="仿宋_GB2312"/>
                <w:snapToGrid w:val="0"/>
                <w:color w:val="000000"/>
                <w:spacing w:val="4"/>
                <w:kern w:val="0"/>
                <w:sz w:val="19"/>
                <w:szCs w:val="19"/>
                <w:highlight w:val="none"/>
                <w:lang w:val="en-US" w:eastAsia="zh-CN" w:bidi="ar-SA"/>
              </w:rPr>
              <w:t>药店独立设置，主体经营场所连续、便民</w:t>
            </w:r>
          </w:p>
        </w:tc>
        <w:tc>
          <w:tcPr>
            <w:tcW w:w="49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left"/>
              <w:textAlignment w:val="center"/>
              <w:rPr>
                <w:rFonts w:hint="eastAsia" w:ascii="仿宋_GB2312" w:hAnsi="仿宋_GB2312" w:eastAsia="仿宋_GB2312" w:cs="仿宋_GB2312"/>
                <w:snapToGrid w:val="0"/>
                <w:color w:val="000000"/>
                <w:spacing w:val="4"/>
                <w:kern w:val="0"/>
                <w:sz w:val="19"/>
                <w:szCs w:val="19"/>
                <w:highlight w:val="none"/>
                <w:lang w:val="en-US" w:eastAsia="zh-CN" w:bidi="ar-SA"/>
              </w:rPr>
            </w:pPr>
            <w:r>
              <w:rPr>
                <w:rFonts w:hint="eastAsia" w:ascii="仿宋_GB2312" w:hAnsi="仿宋_GB2312" w:eastAsia="仿宋_GB2312" w:cs="仿宋_GB2312"/>
                <w:snapToGrid w:val="0"/>
                <w:color w:val="000000"/>
                <w:spacing w:val="4"/>
                <w:kern w:val="0"/>
                <w:sz w:val="19"/>
                <w:szCs w:val="19"/>
                <w:highlight w:val="none"/>
                <w:lang w:val="en-US" w:eastAsia="zh-CN" w:bidi="ar-SA"/>
              </w:rPr>
              <w:t>药店独立设置，主体经营场所连续、便民，得10分。有下列情形之一的，得0分：药店未独立设置的；主体经营场所平面隔断或楼层不连续的；经营场所起始楼层位于二层及二层以上的；经营场所无独立进出通道的。</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仿宋_GB2312" w:eastAsia="仿宋_GB2312" w:cs="仿宋_GB2312"/>
                <w:snapToGrid w:val="0"/>
                <w:color w:val="000000"/>
                <w:spacing w:val="4"/>
                <w:kern w:val="0"/>
                <w:sz w:val="19"/>
                <w:szCs w:val="19"/>
                <w:highlight w:val="none"/>
                <w:lang w:val="en-US" w:eastAsia="zh-CN" w:bidi="ar-SA"/>
              </w:rPr>
            </w:pPr>
            <w:r>
              <w:rPr>
                <w:rFonts w:hint="eastAsia" w:ascii="仿宋_GB2312" w:hAnsi="仿宋_GB2312" w:eastAsia="仿宋_GB2312" w:cs="仿宋_GB2312"/>
                <w:snapToGrid w:val="0"/>
                <w:color w:val="000000"/>
                <w:spacing w:val="4"/>
                <w:kern w:val="0"/>
                <w:sz w:val="19"/>
                <w:szCs w:val="19"/>
                <w:highlight w:val="none"/>
                <w:lang w:val="en-US" w:eastAsia="zh-CN" w:bidi="ar-SA"/>
              </w:rPr>
              <w:t>10</w:t>
            </w:r>
          </w:p>
        </w:tc>
        <w:tc>
          <w:tcPr>
            <w:tcW w:w="331" w:type="pct"/>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仿宋_GB2312" w:eastAsia="仿宋_GB2312" w:cs="仿宋_GB2312"/>
                <w:snapToGrid w:val="0"/>
                <w:color w:val="000000"/>
                <w:spacing w:val="4"/>
                <w:kern w:val="0"/>
                <w:sz w:val="19"/>
                <w:szCs w:val="19"/>
                <w:highlight w:val="none"/>
                <w:lang w:val="en-US" w:eastAsia="zh-CN" w:bidi="ar-SA"/>
              </w:rPr>
            </w:pPr>
          </w:p>
        </w:tc>
        <w:tc>
          <w:tcPr>
            <w:tcW w:w="4730"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仿宋_GB2312" w:eastAsia="仿宋_GB2312" w:cs="仿宋_GB2312"/>
                <w:snapToGrid w:val="0"/>
                <w:color w:val="000000"/>
                <w:spacing w:val="4"/>
                <w:kern w:val="0"/>
                <w:sz w:val="19"/>
                <w:szCs w:val="19"/>
                <w:highlight w:val="none"/>
                <w:lang w:val="en-US" w:eastAsia="zh-CN" w:bidi="ar-SA"/>
              </w:rPr>
            </w:pPr>
            <w:r>
              <w:rPr>
                <w:rFonts w:hint="eastAsia" w:ascii="仿宋_GB2312" w:hAnsi="仿宋_GB2312" w:eastAsia="仿宋_GB2312" w:cs="仿宋_GB2312"/>
                <w:snapToGrid w:val="0"/>
                <w:color w:val="000000"/>
                <w:spacing w:val="4"/>
                <w:kern w:val="0"/>
                <w:sz w:val="19"/>
                <w:szCs w:val="19"/>
                <w:highlight w:val="none"/>
                <w:lang w:val="en-US" w:eastAsia="zh-CN" w:bidi="ar-SA"/>
              </w:rPr>
              <w:t>实地考察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jc w:val="center"/>
        </w:trPr>
        <w:tc>
          <w:tcPr>
            <w:tcW w:w="238"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仿宋_GB2312" w:eastAsia="仿宋_GB2312" w:cs="仿宋_GB2312"/>
                <w:snapToGrid w:val="0"/>
                <w:color w:val="000000"/>
                <w:spacing w:val="4"/>
                <w:kern w:val="0"/>
                <w:sz w:val="19"/>
                <w:szCs w:val="19"/>
                <w:highlight w:val="none"/>
                <w:lang w:val="en-US" w:eastAsia="zh-CN" w:bidi="ar-SA"/>
              </w:rPr>
            </w:pPr>
            <w:r>
              <w:rPr>
                <w:rFonts w:hint="eastAsia" w:ascii="仿宋_GB2312" w:hAnsi="仿宋_GB2312" w:eastAsia="仿宋_GB2312" w:cs="仿宋_GB2312"/>
                <w:snapToGrid w:val="0"/>
                <w:color w:val="000000"/>
                <w:spacing w:val="4"/>
                <w:kern w:val="0"/>
                <w:sz w:val="19"/>
                <w:szCs w:val="19"/>
                <w:highlight w:val="none"/>
                <w:lang w:val="en-US" w:eastAsia="zh-CN" w:bidi="ar-SA"/>
              </w:rPr>
              <w:t>2</w:t>
            </w:r>
          </w:p>
        </w:tc>
        <w:tc>
          <w:tcPr>
            <w:tcW w:w="70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仿宋_GB2312" w:eastAsia="仿宋_GB2312" w:cs="仿宋_GB2312"/>
                <w:snapToGrid w:val="0"/>
                <w:color w:val="auto"/>
                <w:spacing w:val="4"/>
                <w:kern w:val="0"/>
                <w:sz w:val="19"/>
                <w:szCs w:val="19"/>
                <w:highlight w:val="none"/>
                <w:lang w:val="en-US" w:eastAsia="zh-CN" w:bidi="ar-SA"/>
              </w:rPr>
            </w:pPr>
            <w:r>
              <w:rPr>
                <w:rFonts w:hint="eastAsia" w:ascii="仿宋_GB2312" w:hAnsi="仿宋_GB2312" w:eastAsia="仿宋_GB2312" w:cs="仿宋_GB2312"/>
                <w:snapToGrid w:val="0"/>
                <w:color w:val="auto"/>
                <w:spacing w:val="4"/>
                <w:kern w:val="0"/>
                <w:sz w:val="19"/>
                <w:szCs w:val="19"/>
                <w:highlight w:val="none"/>
                <w:lang w:val="en-US" w:eastAsia="zh-CN" w:bidi="ar-SA"/>
              </w:rPr>
              <w:t>场所面积</w:t>
            </w:r>
          </w:p>
        </w:tc>
        <w:tc>
          <w:tcPr>
            <w:tcW w:w="49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left"/>
              <w:textAlignment w:val="center"/>
              <w:rPr>
                <w:rFonts w:hint="eastAsia" w:ascii="仿宋_GB2312" w:hAnsi="仿宋_GB2312" w:eastAsia="仿宋_GB2312" w:cs="仿宋_GB2312"/>
                <w:snapToGrid w:val="0"/>
                <w:color w:val="auto"/>
                <w:spacing w:val="4"/>
                <w:kern w:val="0"/>
                <w:sz w:val="19"/>
                <w:szCs w:val="19"/>
                <w:highlight w:val="none"/>
                <w:lang w:val="en-US" w:eastAsia="zh-CN" w:bidi="ar-SA"/>
              </w:rPr>
            </w:pPr>
            <w:r>
              <w:rPr>
                <w:rFonts w:hint="eastAsia" w:ascii="仿宋_GB2312" w:hAnsi="仿宋_GB2312" w:eastAsia="仿宋_GB2312" w:cs="仿宋_GB2312"/>
                <w:snapToGrid w:val="0"/>
                <w:color w:val="auto"/>
                <w:spacing w:val="4"/>
                <w:kern w:val="0"/>
                <w:sz w:val="19"/>
                <w:szCs w:val="19"/>
                <w:highlight w:val="none"/>
                <w:lang w:val="en-US" w:eastAsia="zh-CN" w:bidi="ar-SA"/>
              </w:rPr>
              <w:t>城区药店建筑面积80平方米及以上得5分；120平方米及以上得10分。乡镇药店60平方米以上得5分；100平方米以上得10分。</w:t>
            </w:r>
          </w:p>
        </w:tc>
        <w:tc>
          <w:tcPr>
            <w:tcW w:w="317" w:type="pc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仿宋_GB2312" w:eastAsia="仿宋_GB2312" w:cs="仿宋_GB2312"/>
                <w:snapToGrid w:val="0"/>
                <w:color w:val="000000"/>
                <w:spacing w:val="4"/>
                <w:kern w:val="0"/>
                <w:sz w:val="19"/>
                <w:szCs w:val="19"/>
                <w:highlight w:val="none"/>
                <w:lang w:val="en-US" w:eastAsia="zh-CN" w:bidi="ar-SA"/>
              </w:rPr>
            </w:pPr>
            <w:r>
              <w:rPr>
                <w:rFonts w:hint="eastAsia" w:ascii="仿宋_GB2312" w:hAnsi="仿宋_GB2312" w:eastAsia="仿宋_GB2312" w:cs="仿宋_GB2312"/>
                <w:snapToGrid w:val="0"/>
                <w:color w:val="000000"/>
                <w:spacing w:val="4"/>
                <w:kern w:val="0"/>
                <w:sz w:val="19"/>
                <w:szCs w:val="19"/>
                <w:highlight w:val="none"/>
                <w:lang w:val="en-US" w:eastAsia="zh-CN" w:bidi="ar-SA"/>
              </w:rPr>
              <w:t>10</w:t>
            </w:r>
          </w:p>
        </w:tc>
        <w:tc>
          <w:tcPr>
            <w:tcW w:w="331"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仿宋_GB2312" w:eastAsia="仿宋_GB2312" w:cs="仿宋_GB2312"/>
                <w:snapToGrid w:val="0"/>
                <w:color w:val="000000"/>
                <w:spacing w:val="4"/>
                <w:kern w:val="0"/>
                <w:sz w:val="19"/>
                <w:szCs w:val="19"/>
                <w:highlight w:val="none"/>
                <w:lang w:val="en-US" w:eastAsia="zh-CN" w:bidi="ar-SA"/>
              </w:rPr>
            </w:pPr>
          </w:p>
        </w:tc>
        <w:tc>
          <w:tcPr>
            <w:tcW w:w="4730"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both"/>
              <w:textAlignment w:val="center"/>
              <w:rPr>
                <w:rFonts w:hint="eastAsia" w:ascii="仿宋_GB2312" w:hAnsi="仿宋_GB2312" w:eastAsia="仿宋_GB2312" w:cs="仿宋_GB2312"/>
                <w:snapToGrid w:val="0"/>
                <w:color w:val="000000"/>
                <w:spacing w:val="4"/>
                <w:kern w:val="0"/>
                <w:sz w:val="19"/>
                <w:szCs w:val="19"/>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6" w:hRule="atLeast"/>
          <w:jc w:val="center"/>
        </w:trPr>
        <w:tc>
          <w:tcPr>
            <w:tcW w:w="238"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仿宋_GB2312" w:eastAsia="仿宋_GB2312" w:cs="仿宋_GB2312"/>
                <w:snapToGrid w:val="0"/>
                <w:color w:val="000000"/>
                <w:spacing w:val="4"/>
                <w:kern w:val="0"/>
                <w:sz w:val="19"/>
                <w:szCs w:val="19"/>
                <w:highlight w:val="none"/>
                <w:lang w:val="en-US" w:eastAsia="zh-CN" w:bidi="ar-SA"/>
              </w:rPr>
            </w:pPr>
            <w:r>
              <w:rPr>
                <w:rFonts w:hint="eastAsia" w:ascii="仿宋_GB2312" w:hAnsi="仿宋_GB2312" w:eastAsia="仿宋_GB2312" w:cs="仿宋_GB2312"/>
                <w:snapToGrid w:val="0"/>
                <w:color w:val="000000"/>
                <w:spacing w:val="4"/>
                <w:kern w:val="0"/>
                <w:sz w:val="19"/>
                <w:szCs w:val="19"/>
                <w:highlight w:val="none"/>
                <w:lang w:val="en-US" w:eastAsia="zh-CN" w:bidi="ar-SA"/>
              </w:rPr>
              <w:t>3</w:t>
            </w:r>
          </w:p>
        </w:tc>
        <w:tc>
          <w:tcPr>
            <w:tcW w:w="70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仿宋_GB2312" w:eastAsia="仿宋_GB2312" w:cs="仿宋_GB2312"/>
                <w:snapToGrid w:val="0"/>
                <w:color w:val="auto"/>
                <w:spacing w:val="4"/>
                <w:kern w:val="0"/>
                <w:sz w:val="19"/>
                <w:szCs w:val="19"/>
                <w:highlight w:val="none"/>
                <w:lang w:val="en-US" w:eastAsia="zh-CN" w:bidi="ar-SA"/>
              </w:rPr>
            </w:pPr>
            <w:r>
              <w:rPr>
                <w:rFonts w:hint="eastAsia" w:ascii="仿宋_GB2312" w:hAnsi="仿宋_GB2312" w:eastAsia="仿宋_GB2312" w:cs="仿宋_GB2312"/>
                <w:snapToGrid w:val="0"/>
                <w:color w:val="auto"/>
                <w:spacing w:val="4"/>
                <w:kern w:val="0"/>
                <w:sz w:val="19"/>
                <w:szCs w:val="19"/>
                <w:highlight w:val="none"/>
                <w:lang w:val="en-US" w:eastAsia="zh-CN" w:bidi="ar-SA"/>
              </w:rPr>
              <w:t>经营地点</w:t>
            </w:r>
          </w:p>
        </w:tc>
        <w:tc>
          <w:tcPr>
            <w:tcW w:w="49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left"/>
              <w:textAlignment w:val="center"/>
              <w:rPr>
                <w:rFonts w:hint="eastAsia" w:ascii="仿宋_GB2312" w:hAnsi="仿宋_GB2312" w:eastAsia="仿宋_GB2312" w:cs="仿宋_GB2312"/>
                <w:snapToGrid w:val="0"/>
                <w:color w:val="auto"/>
                <w:spacing w:val="4"/>
                <w:kern w:val="0"/>
                <w:sz w:val="19"/>
                <w:szCs w:val="19"/>
                <w:highlight w:val="none"/>
                <w:lang w:val="en-US" w:eastAsia="zh-CN" w:bidi="ar-SA"/>
              </w:rPr>
            </w:pPr>
            <w:r>
              <w:rPr>
                <w:rFonts w:hint="eastAsia" w:ascii="仿宋_GB2312" w:hAnsi="仿宋_GB2312" w:eastAsia="仿宋_GB2312" w:cs="仿宋_GB2312"/>
                <w:snapToGrid w:val="0"/>
                <w:color w:val="auto"/>
                <w:spacing w:val="4"/>
                <w:kern w:val="0"/>
                <w:sz w:val="19"/>
                <w:szCs w:val="19"/>
                <w:highlight w:val="none"/>
                <w:lang w:val="en-US" w:eastAsia="zh-CN" w:bidi="ar-SA"/>
              </w:rPr>
              <w:t>经营地址在城市建成区网格内的得3分；在乡镇中心区或行政村内的得6分</w:t>
            </w:r>
          </w:p>
        </w:tc>
        <w:tc>
          <w:tcPr>
            <w:tcW w:w="317" w:type="pc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仿宋_GB2312" w:eastAsia="仿宋_GB2312" w:cs="仿宋_GB2312"/>
                <w:snapToGrid w:val="0"/>
                <w:color w:val="000000"/>
                <w:spacing w:val="4"/>
                <w:kern w:val="0"/>
                <w:sz w:val="19"/>
                <w:szCs w:val="19"/>
                <w:highlight w:val="none"/>
                <w:lang w:val="en-US" w:eastAsia="zh-CN" w:bidi="ar-SA"/>
              </w:rPr>
            </w:pPr>
            <w:r>
              <w:rPr>
                <w:rFonts w:hint="eastAsia" w:ascii="仿宋_GB2312" w:hAnsi="仿宋_GB2312" w:eastAsia="仿宋_GB2312" w:cs="仿宋_GB2312"/>
                <w:snapToGrid w:val="0"/>
                <w:color w:val="000000"/>
                <w:spacing w:val="4"/>
                <w:kern w:val="0"/>
                <w:sz w:val="19"/>
                <w:szCs w:val="19"/>
                <w:highlight w:val="none"/>
                <w:lang w:val="en-US" w:eastAsia="zh-CN" w:bidi="ar-SA"/>
              </w:rPr>
              <w:t>6</w:t>
            </w:r>
          </w:p>
        </w:tc>
        <w:tc>
          <w:tcPr>
            <w:tcW w:w="331"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仿宋_GB2312" w:eastAsia="仿宋_GB2312" w:cs="仿宋_GB2312"/>
                <w:snapToGrid w:val="0"/>
                <w:color w:val="000000"/>
                <w:spacing w:val="4"/>
                <w:kern w:val="0"/>
                <w:sz w:val="19"/>
                <w:szCs w:val="19"/>
                <w:highlight w:val="none"/>
                <w:lang w:val="en-US" w:eastAsia="zh-CN" w:bidi="ar-SA"/>
              </w:rPr>
            </w:pPr>
          </w:p>
        </w:tc>
        <w:tc>
          <w:tcPr>
            <w:tcW w:w="4730"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仿宋_GB2312" w:eastAsia="仿宋_GB2312" w:cs="仿宋_GB2312"/>
                <w:snapToGrid w:val="0"/>
                <w:color w:val="000000"/>
                <w:spacing w:val="4"/>
                <w:kern w:val="0"/>
                <w:sz w:val="19"/>
                <w:szCs w:val="19"/>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0" w:hRule="atLeast"/>
          <w:jc w:val="center"/>
        </w:trPr>
        <w:tc>
          <w:tcPr>
            <w:tcW w:w="238"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仿宋_GB2312" w:eastAsia="仿宋_GB2312" w:cs="仿宋_GB2312"/>
                <w:snapToGrid w:val="0"/>
                <w:color w:val="000000"/>
                <w:spacing w:val="4"/>
                <w:kern w:val="0"/>
                <w:sz w:val="19"/>
                <w:szCs w:val="19"/>
                <w:highlight w:val="none"/>
                <w:lang w:val="en-US" w:eastAsia="zh-CN" w:bidi="ar-SA"/>
              </w:rPr>
            </w:pPr>
            <w:r>
              <w:rPr>
                <w:rFonts w:hint="eastAsia" w:ascii="仿宋_GB2312" w:hAnsi="仿宋_GB2312" w:eastAsia="仿宋_GB2312" w:cs="仿宋_GB2312"/>
                <w:snapToGrid w:val="0"/>
                <w:color w:val="000000"/>
                <w:spacing w:val="4"/>
                <w:kern w:val="0"/>
                <w:sz w:val="19"/>
                <w:szCs w:val="19"/>
                <w:highlight w:val="none"/>
                <w:lang w:val="en-US" w:eastAsia="zh-CN" w:bidi="ar-SA"/>
              </w:rPr>
              <w:t>4</w:t>
            </w:r>
          </w:p>
        </w:tc>
        <w:tc>
          <w:tcPr>
            <w:tcW w:w="70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仿宋_GB2312" w:eastAsia="仿宋_GB2312" w:cs="仿宋_GB2312"/>
                <w:snapToGrid w:val="0"/>
                <w:color w:val="000000"/>
                <w:spacing w:val="4"/>
                <w:kern w:val="0"/>
                <w:sz w:val="19"/>
                <w:szCs w:val="19"/>
                <w:highlight w:val="none"/>
                <w:lang w:val="en-US" w:eastAsia="zh-CN" w:bidi="ar-SA"/>
              </w:rPr>
            </w:pPr>
            <w:r>
              <w:rPr>
                <w:rFonts w:hint="eastAsia" w:ascii="仿宋_GB2312" w:hAnsi="仿宋_GB2312" w:eastAsia="仿宋_GB2312" w:cs="仿宋_GB2312"/>
                <w:snapToGrid w:val="0"/>
                <w:color w:val="000000"/>
                <w:spacing w:val="4"/>
                <w:kern w:val="0"/>
                <w:sz w:val="19"/>
                <w:szCs w:val="19"/>
                <w:highlight w:val="none"/>
                <w:lang w:val="en-US" w:eastAsia="zh-CN" w:bidi="ar-SA"/>
              </w:rPr>
              <w:t>设置监控设备</w:t>
            </w:r>
          </w:p>
        </w:tc>
        <w:tc>
          <w:tcPr>
            <w:tcW w:w="49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left"/>
              <w:textAlignment w:val="center"/>
              <w:rPr>
                <w:rFonts w:hint="eastAsia" w:ascii="仿宋_GB2312" w:hAnsi="仿宋_GB2312" w:eastAsia="仿宋_GB2312" w:cs="仿宋_GB2312"/>
                <w:snapToGrid w:val="0"/>
                <w:color w:val="000000"/>
                <w:spacing w:val="4"/>
                <w:kern w:val="0"/>
                <w:sz w:val="19"/>
                <w:szCs w:val="19"/>
                <w:highlight w:val="none"/>
                <w:lang w:val="en-US" w:eastAsia="zh-CN" w:bidi="ar-SA"/>
              </w:rPr>
            </w:pPr>
            <w:r>
              <w:rPr>
                <w:rFonts w:hint="eastAsia" w:ascii="仿宋_GB2312" w:hAnsi="仿宋_GB2312" w:eastAsia="仿宋_GB2312" w:cs="仿宋_GB2312"/>
                <w:snapToGrid w:val="0"/>
                <w:color w:val="000000"/>
                <w:spacing w:val="4"/>
                <w:kern w:val="0"/>
                <w:sz w:val="19"/>
                <w:szCs w:val="19"/>
                <w:highlight w:val="none"/>
                <w:lang w:val="en-US" w:eastAsia="zh-CN" w:bidi="ar-SA"/>
              </w:rPr>
              <w:t>在收费结算处等公共场所安装监控设备，确保正常使用，角度正确，能清晰辨认出参保人员面部特征，并能提供营业期间不少于3个月不间断的监控影像资料的，得10分；可提供影像资料满1个月但不足3个月的，得5分；影像资料不满1个月、不能提供影像资料的、设备不能正常使用以及未安装的，得0分。</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仿宋_GB2312" w:eastAsia="仿宋_GB2312" w:cs="仿宋_GB2312"/>
                <w:snapToGrid w:val="0"/>
                <w:color w:val="000000"/>
                <w:spacing w:val="4"/>
                <w:kern w:val="0"/>
                <w:sz w:val="19"/>
                <w:szCs w:val="19"/>
                <w:highlight w:val="none"/>
                <w:lang w:val="en-US" w:eastAsia="zh-CN" w:bidi="ar-SA"/>
              </w:rPr>
            </w:pPr>
            <w:r>
              <w:rPr>
                <w:rFonts w:hint="eastAsia" w:ascii="仿宋_GB2312" w:hAnsi="仿宋_GB2312" w:eastAsia="仿宋_GB2312" w:cs="仿宋_GB2312"/>
                <w:snapToGrid w:val="0"/>
                <w:color w:val="000000"/>
                <w:spacing w:val="4"/>
                <w:kern w:val="0"/>
                <w:sz w:val="19"/>
                <w:szCs w:val="19"/>
                <w:highlight w:val="none"/>
                <w:lang w:val="en-US" w:eastAsia="zh-CN" w:bidi="ar-SA"/>
              </w:rPr>
              <w:t>10</w:t>
            </w:r>
          </w:p>
        </w:tc>
        <w:tc>
          <w:tcPr>
            <w:tcW w:w="331" w:type="pct"/>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仿宋_GB2312" w:eastAsia="仿宋_GB2312" w:cs="仿宋_GB2312"/>
                <w:snapToGrid w:val="0"/>
                <w:color w:val="000000"/>
                <w:spacing w:val="4"/>
                <w:kern w:val="0"/>
                <w:sz w:val="19"/>
                <w:szCs w:val="19"/>
                <w:highlight w:val="none"/>
                <w:lang w:val="en-US" w:eastAsia="zh-CN" w:bidi="ar-SA"/>
              </w:rPr>
            </w:pPr>
          </w:p>
        </w:tc>
        <w:tc>
          <w:tcPr>
            <w:tcW w:w="4730"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仿宋_GB2312" w:eastAsia="仿宋_GB2312" w:cs="仿宋_GB2312"/>
                <w:snapToGrid w:val="0"/>
                <w:color w:val="000000"/>
                <w:spacing w:val="4"/>
                <w:kern w:val="0"/>
                <w:sz w:val="19"/>
                <w:szCs w:val="19"/>
                <w:highlight w:val="none"/>
                <w:lang w:val="en-US" w:eastAsia="zh-CN" w:bidi="ar-SA"/>
              </w:rPr>
            </w:pPr>
            <w:r>
              <w:rPr>
                <w:rFonts w:hint="eastAsia" w:ascii="仿宋_GB2312" w:hAnsi="仿宋_GB2312" w:eastAsia="仿宋_GB2312" w:cs="仿宋_GB2312"/>
                <w:snapToGrid w:val="0"/>
                <w:color w:val="000000"/>
                <w:spacing w:val="4"/>
                <w:kern w:val="0"/>
                <w:sz w:val="19"/>
                <w:szCs w:val="19"/>
                <w:highlight w:val="none"/>
                <w:lang w:val="en-US" w:eastAsia="zh-CN" w:bidi="ar-SA"/>
              </w:rPr>
              <w:t>主要查看视频监控设备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jc w:val="center"/>
        </w:trPr>
        <w:tc>
          <w:tcPr>
            <w:tcW w:w="238" w:type="pct"/>
            <w:gridSpan w:val="2"/>
            <w:tcBorders>
              <w:top w:val="single" w:color="auto"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仿宋_GB2312" w:eastAsia="仿宋_GB2312" w:cs="仿宋_GB2312"/>
                <w:snapToGrid w:val="0"/>
                <w:color w:val="000000"/>
                <w:spacing w:val="4"/>
                <w:kern w:val="0"/>
                <w:sz w:val="19"/>
                <w:szCs w:val="19"/>
                <w:highlight w:val="none"/>
                <w:lang w:val="en-US" w:eastAsia="zh-CN" w:bidi="ar-SA"/>
              </w:rPr>
            </w:pPr>
            <w:r>
              <w:rPr>
                <w:rFonts w:hint="eastAsia" w:ascii="仿宋_GB2312" w:hAnsi="仿宋_GB2312" w:eastAsia="仿宋_GB2312" w:cs="仿宋_GB2312"/>
                <w:snapToGrid w:val="0"/>
                <w:color w:val="000000"/>
                <w:spacing w:val="4"/>
                <w:kern w:val="0"/>
                <w:sz w:val="19"/>
                <w:szCs w:val="19"/>
                <w:highlight w:val="none"/>
                <w:lang w:val="en-US" w:eastAsia="zh-CN" w:bidi="ar-SA"/>
              </w:rPr>
              <w:t>5</w:t>
            </w:r>
          </w:p>
        </w:tc>
        <w:tc>
          <w:tcPr>
            <w:tcW w:w="708" w:type="pct"/>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仿宋_GB2312" w:eastAsia="仿宋_GB2312" w:cs="仿宋_GB2312"/>
                <w:snapToGrid w:val="0"/>
                <w:color w:val="000000"/>
                <w:spacing w:val="4"/>
                <w:kern w:val="0"/>
                <w:sz w:val="19"/>
                <w:szCs w:val="19"/>
                <w:highlight w:val="none"/>
                <w:lang w:val="en-US" w:eastAsia="zh-CN" w:bidi="ar-SA"/>
              </w:rPr>
            </w:pPr>
            <w:r>
              <w:rPr>
                <w:rFonts w:hint="eastAsia" w:ascii="仿宋_GB2312" w:hAnsi="仿宋_GB2312" w:eastAsia="仿宋_GB2312" w:cs="仿宋_GB2312"/>
                <w:snapToGrid w:val="0"/>
                <w:color w:val="000000"/>
                <w:spacing w:val="4"/>
                <w:kern w:val="0"/>
                <w:sz w:val="19"/>
                <w:szCs w:val="19"/>
                <w:highlight w:val="none"/>
                <w:lang w:val="en-US" w:eastAsia="zh-CN" w:bidi="ar-SA"/>
              </w:rPr>
              <w:t>药品及医用耗材情况</w:t>
            </w:r>
          </w:p>
        </w:tc>
        <w:tc>
          <w:tcPr>
            <w:tcW w:w="4920" w:type="dxa"/>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left"/>
              <w:textAlignment w:val="center"/>
              <w:rPr>
                <w:rFonts w:hint="eastAsia" w:ascii="仿宋_GB2312" w:hAnsi="仿宋_GB2312" w:eastAsia="仿宋_GB2312" w:cs="仿宋_GB2312"/>
                <w:snapToGrid w:val="0"/>
                <w:color w:val="auto"/>
                <w:spacing w:val="4"/>
                <w:kern w:val="0"/>
                <w:sz w:val="19"/>
                <w:szCs w:val="19"/>
                <w:highlight w:val="none"/>
                <w:lang w:val="en-US" w:eastAsia="zh-CN" w:bidi="ar-SA"/>
              </w:rPr>
            </w:pPr>
            <w:r>
              <w:rPr>
                <w:rFonts w:hint="eastAsia" w:ascii="仿宋_GB2312" w:hAnsi="仿宋_GB2312" w:eastAsia="仿宋_GB2312" w:cs="仿宋_GB2312"/>
                <w:snapToGrid w:val="0"/>
                <w:color w:val="auto"/>
                <w:spacing w:val="4"/>
                <w:kern w:val="0"/>
                <w:sz w:val="19"/>
                <w:szCs w:val="19"/>
                <w:highlight w:val="none"/>
                <w:lang w:val="en-US" w:eastAsia="zh-CN" w:bidi="ar-SA"/>
              </w:rPr>
              <w:t>严格执行处方管理有关规定得4分；零售药店与供应商之间是否有有效合作协议、合同等得2分；药品、医用耗材等供应商的相关资质有效、齐全，得4分。发现假劣或过期失效药品， 得0分</w:t>
            </w:r>
          </w:p>
        </w:tc>
        <w:tc>
          <w:tcPr>
            <w:tcW w:w="317" w:type="pct"/>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仿宋_GB2312" w:eastAsia="仿宋_GB2312" w:cs="仿宋_GB2312"/>
                <w:snapToGrid w:val="0"/>
                <w:color w:val="auto"/>
                <w:spacing w:val="4"/>
                <w:kern w:val="0"/>
                <w:sz w:val="19"/>
                <w:szCs w:val="19"/>
                <w:highlight w:val="none"/>
                <w:lang w:val="en-US" w:eastAsia="zh-CN" w:bidi="ar-SA"/>
              </w:rPr>
            </w:pPr>
            <w:r>
              <w:rPr>
                <w:rFonts w:hint="eastAsia" w:ascii="仿宋_GB2312" w:hAnsi="仿宋_GB2312" w:eastAsia="仿宋_GB2312" w:cs="仿宋_GB2312"/>
                <w:snapToGrid w:val="0"/>
                <w:color w:val="auto"/>
                <w:spacing w:val="4"/>
                <w:kern w:val="0"/>
                <w:sz w:val="19"/>
                <w:szCs w:val="19"/>
                <w:highlight w:val="none"/>
                <w:lang w:val="en-US" w:eastAsia="zh-CN" w:bidi="ar-SA"/>
              </w:rPr>
              <w:t>10</w:t>
            </w:r>
          </w:p>
        </w:tc>
        <w:tc>
          <w:tcPr>
            <w:tcW w:w="331" w:type="pct"/>
            <w:gridSpan w:val="2"/>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仿宋_GB2312" w:eastAsia="仿宋_GB2312" w:cs="仿宋_GB2312"/>
                <w:snapToGrid w:val="0"/>
                <w:color w:val="auto"/>
                <w:spacing w:val="4"/>
                <w:kern w:val="0"/>
                <w:sz w:val="19"/>
                <w:szCs w:val="19"/>
                <w:highlight w:val="none"/>
                <w:lang w:val="en-US" w:eastAsia="zh-CN" w:bidi="ar-SA"/>
              </w:rPr>
            </w:pPr>
          </w:p>
        </w:tc>
        <w:tc>
          <w:tcPr>
            <w:tcW w:w="4730" w:type="dxa"/>
            <w:tcBorders>
              <w:top w:val="single" w:color="auto"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仿宋_GB2312" w:eastAsia="仿宋_GB2312" w:cs="仿宋_GB2312"/>
                <w:snapToGrid w:val="0"/>
                <w:color w:val="auto"/>
                <w:spacing w:val="4"/>
                <w:kern w:val="0"/>
                <w:sz w:val="19"/>
                <w:szCs w:val="19"/>
                <w:highlight w:val="none"/>
                <w:lang w:val="en-US" w:eastAsia="zh-CN" w:bidi="ar-SA"/>
              </w:rPr>
            </w:pPr>
            <w:r>
              <w:rPr>
                <w:rFonts w:hint="eastAsia" w:ascii="仿宋_GB2312" w:hAnsi="仿宋_GB2312" w:eastAsia="仿宋_GB2312" w:cs="仿宋_GB2312"/>
                <w:snapToGrid w:val="0"/>
                <w:color w:val="auto"/>
                <w:spacing w:val="4"/>
                <w:kern w:val="0"/>
                <w:sz w:val="19"/>
                <w:szCs w:val="19"/>
                <w:highlight w:val="none"/>
                <w:lang w:val="en-US" w:eastAsia="zh-CN" w:bidi="ar-SA"/>
              </w:rPr>
              <w:t>抽查非同日10份处方药销售记录与凭证；与供应商之间有有效合作协议、合同；药品、医用耗材等供应商的相关资质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7" w:hRule="atLeast"/>
          <w:jc w:val="center"/>
        </w:trPr>
        <w:tc>
          <w:tcPr>
            <w:tcW w:w="238" w:type="pct"/>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仿宋_GB2312" w:eastAsia="仿宋_GB2312" w:cs="仿宋_GB2312"/>
                <w:snapToGrid w:val="0"/>
                <w:color w:val="000000"/>
                <w:spacing w:val="4"/>
                <w:kern w:val="0"/>
                <w:sz w:val="19"/>
                <w:szCs w:val="19"/>
                <w:highlight w:val="none"/>
                <w:lang w:val="en-US" w:eastAsia="zh-CN" w:bidi="ar-SA"/>
              </w:rPr>
            </w:pPr>
            <w:r>
              <w:rPr>
                <w:rFonts w:hint="eastAsia" w:ascii="仿宋_GB2312" w:hAnsi="仿宋_GB2312" w:eastAsia="仿宋_GB2312" w:cs="仿宋_GB2312"/>
                <w:snapToGrid w:val="0"/>
                <w:color w:val="000000"/>
                <w:spacing w:val="4"/>
                <w:kern w:val="0"/>
                <w:sz w:val="19"/>
                <w:szCs w:val="19"/>
                <w:highlight w:val="none"/>
                <w:lang w:val="en-US" w:eastAsia="zh-CN" w:bidi="ar-SA"/>
              </w:rPr>
              <w:t>6</w:t>
            </w:r>
          </w:p>
        </w:tc>
        <w:tc>
          <w:tcPr>
            <w:tcW w:w="70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仿宋_GB2312" w:eastAsia="仿宋_GB2312" w:cs="仿宋_GB2312"/>
                <w:snapToGrid w:val="0"/>
                <w:color w:val="000000"/>
                <w:spacing w:val="4"/>
                <w:kern w:val="0"/>
                <w:sz w:val="19"/>
                <w:szCs w:val="19"/>
                <w:highlight w:val="none"/>
                <w:lang w:val="en-US" w:eastAsia="zh-CN" w:bidi="ar-SA"/>
              </w:rPr>
            </w:pPr>
            <w:r>
              <w:rPr>
                <w:rFonts w:hint="eastAsia" w:ascii="仿宋_GB2312" w:hAnsi="仿宋_GB2312" w:eastAsia="仿宋_GB2312" w:cs="仿宋_GB2312"/>
                <w:snapToGrid w:val="0"/>
                <w:color w:val="000000"/>
                <w:spacing w:val="4"/>
                <w:kern w:val="0"/>
                <w:sz w:val="19"/>
                <w:szCs w:val="19"/>
                <w:highlight w:val="none"/>
                <w:lang w:val="en-US" w:eastAsia="zh-CN" w:bidi="ar-SA"/>
              </w:rPr>
              <w:t>场地使用有效期限</w:t>
            </w:r>
          </w:p>
        </w:tc>
        <w:tc>
          <w:tcPr>
            <w:tcW w:w="49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left"/>
              <w:textAlignment w:val="center"/>
              <w:rPr>
                <w:rFonts w:hint="eastAsia" w:ascii="仿宋_GB2312" w:hAnsi="仿宋_GB2312" w:eastAsia="仿宋_GB2312" w:cs="仿宋_GB2312"/>
                <w:snapToGrid w:val="0"/>
                <w:color w:val="000000"/>
                <w:spacing w:val="4"/>
                <w:kern w:val="0"/>
                <w:sz w:val="19"/>
                <w:szCs w:val="19"/>
                <w:highlight w:val="none"/>
                <w:lang w:val="en-US" w:eastAsia="zh-CN" w:bidi="ar-SA"/>
              </w:rPr>
            </w:pPr>
            <w:r>
              <w:rPr>
                <w:rFonts w:hint="eastAsia" w:ascii="仿宋_GB2312" w:hAnsi="仿宋_GB2312" w:eastAsia="仿宋_GB2312" w:cs="仿宋_GB2312"/>
                <w:snapToGrid w:val="0"/>
                <w:color w:val="000000"/>
                <w:spacing w:val="4"/>
                <w:kern w:val="0"/>
                <w:sz w:val="19"/>
                <w:szCs w:val="19"/>
                <w:highlight w:val="none"/>
                <w:lang w:val="en-US" w:eastAsia="zh-CN" w:bidi="ar-SA"/>
              </w:rPr>
              <w:t>药店经营场所为自有场地或场地租赁合同剩余有效期限大于2年，得10分；场地租赁合同剩余有效期限大于1年但小于2年，得5分；小于等于1年，不得分。</w:t>
            </w:r>
          </w:p>
        </w:tc>
        <w:tc>
          <w:tcPr>
            <w:tcW w:w="3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仿宋_GB2312" w:eastAsia="仿宋_GB2312" w:cs="仿宋_GB2312"/>
                <w:snapToGrid w:val="0"/>
                <w:color w:val="000000"/>
                <w:spacing w:val="4"/>
                <w:kern w:val="0"/>
                <w:sz w:val="19"/>
                <w:szCs w:val="19"/>
                <w:highlight w:val="none"/>
                <w:lang w:val="en-US" w:eastAsia="zh-CN" w:bidi="ar-SA"/>
              </w:rPr>
            </w:pPr>
            <w:r>
              <w:rPr>
                <w:rFonts w:hint="eastAsia" w:ascii="仿宋_GB2312" w:hAnsi="仿宋_GB2312" w:eastAsia="仿宋_GB2312" w:cs="仿宋_GB2312"/>
                <w:snapToGrid w:val="0"/>
                <w:color w:val="000000"/>
                <w:spacing w:val="4"/>
                <w:kern w:val="0"/>
                <w:sz w:val="19"/>
                <w:szCs w:val="19"/>
                <w:highlight w:val="none"/>
                <w:lang w:val="en-US" w:eastAsia="zh-CN" w:bidi="ar-SA"/>
              </w:rPr>
              <w:t>10</w:t>
            </w:r>
          </w:p>
        </w:tc>
        <w:tc>
          <w:tcPr>
            <w:tcW w:w="331"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仿宋_GB2312" w:eastAsia="仿宋_GB2312" w:cs="仿宋_GB2312"/>
                <w:snapToGrid w:val="0"/>
                <w:color w:val="000000"/>
                <w:spacing w:val="4"/>
                <w:kern w:val="0"/>
                <w:sz w:val="19"/>
                <w:szCs w:val="19"/>
                <w:highlight w:val="none"/>
                <w:lang w:val="en-US" w:eastAsia="zh-CN" w:bidi="ar-SA"/>
              </w:rPr>
            </w:pPr>
          </w:p>
        </w:tc>
        <w:tc>
          <w:tcPr>
            <w:tcW w:w="47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仿宋_GB2312" w:eastAsia="仿宋_GB2312" w:cs="仿宋_GB2312"/>
                <w:snapToGrid w:val="0"/>
                <w:color w:val="000000"/>
                <w:spacing w:val="4"/>
                <w:kern w:val="0"/>
                <w:sz w:val="19"/>
                <w:szCs w:val="19"/>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0" w:hRule="atLeast"/>
          <w:jc w:val="center"/>
        </w:trPr>
        <w:tc>
          <w:tcPr>
            <w:tcW w:w="238" w:type="pct"/>
            <w:gridSpan w:val="2"/>
            <w:tcBorders>
              <w:top w:val="nil"/>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仿宋_GB2312" w:eastAsia="仿宋_GB2312" w:cs="仿宋_GB2312"/>
                <w:snapToGrid w:val="0"/>
                <w:color w:val="000000"/>
                <w:spacing w:val="4"/>
                <w:kern w:val="0"/>
                <w:sz w:val="19"/>
                <w:szCs w:val="19"/>
                <w:highlight w:val="none"/>
                <w:lang w:val="en-US" w:eastAsia="zh-CN" w:bidi="ar-SA"/>
              </w:rPr>
            </w:pPr>
            <w:r>
              <w:rPr>
                <w:rFonts w:hint="eastAsia" w:ascii="仿宋_GB2312" w:hAnsi="仿宋_GB2312" w:eastAsia="仿宋_GB2312" w:cs="仿宋_GB2312"/>
                <w:snapToGrid w:val="0"/>
                <w:color w:val="000000"/>
                <w:spacing w:val="4"/>
                <w:kern w:val="0"/>
                <w:sz w:val="19"/>
                <w:szCs w:val="19"/>
                <w:highlight w:val="none"/>
                <w:lang w:val="en-US" w:eastAsia="zh-CN" w:bidi="ar-SA"/>
              </w:rPr>
              <w:t>7</w:t>
            </w:r>
          </w:p>
        </w:tc>
        <w:tc>
          <w:tcPr>
            <w:tcW w:w="70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仿宋_GB2312" w:eastAsia="仿宋_GB2312" w:cs="仿宋_GB2312"/>
                <w:snapToGrid w:val="0"/>
                <w:color w:val="000000"/>
                <w:spacing w:val="4"/>
                <w:kern w:val="0"/>
                <w:sz w:val="19"/>
                <w:szCs w:val="19"/>
                <w:highlight w:val="none"/>
                <w:lang w:val="en-US" w:eastAsia="zh-CN" w:bidi="ar-SA"/>
              </w:rPr>
            </w:pPr>
            <w:r>
              <w:rPr>
                <w:rFonts w:hint="eastAsia" w:ascii="仿宋_GB2312" w:hAnsi="仿宋_GB2312" w:eastAsia="仿宋_GB2312" w:cs="仿宋_GB2312"/>
                <w:snapToGrid w:val="0"/>
                <w:color w:val="000000"/>
                <w:spacing w:val="4"/>
                <w:kern w:val="0"/>
                <w:sz w:val="19"/>
                <w:szCs w:val="19"/>
                <w:highlight w:val="none"/>
                <w:lang w:val="en-US" w:eastAsia="zh-CN" w:bidi="ar-SA"/>
              </w:rPr>
              <w:t>陈列和销售药品、医疗器械、医用耗材等医保 (含个人账户)支付范围内的商品应与其他商品分区存放。</w:t>
            </w:r>
          </w:p>
        </w:tc>
        <w:tc>
          <w:tcPr>
            <w:tcW w:w="49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left"/>
              <w:textAlignment w:val="center"/>
              <w:rPr>
                <w:rFonts w:hint="eastAsia" w:ascii="仿宋_GB2312" w:hAnsi="仿宋_GB2312" w:eastAsia="仿宋_GB2312" w:cs="仿宋_GB2312"/>
                <w:snapToGrid w:val="0"/>
                <w:color w:val="000000"/>
                <w:spacing w:val="4"/>
                <w:kern w:val="0"/>
                <w:sz w:val="19"/>
                <w:szCs w:val="19"/>
                <w:highlight w:val="none"/>
                <w:lang w:val="en-US" w:eastAsia="zh-CN" w:bidi="ar-SA"/>
              </w:rPr>
            </w:pPr>
            <w:r>
              <w:rPr>
                <w:rFonts w:hint="eastAsia" w:ascii="仿宋_GB2312" w:hAnsi="仿宋_GB2312" w:eastAsia="仿宋_GB2312" w:cs="仿宋_GB2312"/>
                <w:snapToGrid w:val="0"/>
                <w:color w:val="000000"/>
                <w:spacing w:val="4"/>
                <w:kern w:val="0"/>
                <w:sz w:val="19"/>
                <w:szCs w:val="19"/>
                <w:highlight w:val="none"/>
                <w:lang w:val="en-US" w:eastAsia="zh-CN" w:bidi="ar-SA"/>
              </w:rPr>
              <w:t>未分区存放的，本项得0分；医保可支付商品陈列区陈列非医保支付商品的，每发现1例扣2分，至本项指标分值扣完为止。</w:t>
            </w:r>
          </w:p>
        </w:tc>
        <w:tc>
          <w:tcPr>
            <w:tcW w:w="31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仿宋_GB2312" w:eastAsia="仿宋_GB2312" w:cs="仿宋_GB2312"/>
                <w:snapToGrid w:val="0"/>
                <w:color w:val="000000"/>
                <w:spacing w:val="4"/>
                <w:kern w:val="0"/>
                <w:sz w:val="19"/>
                <w:szCs w:val="19"/>
                <w:highlight w:val="none"/>
                <w:lang w:val="en-US" w:eastAsia="zh-CN" w:bidi="ar-SA"/>
              </w:rPr>
            </w:pPr>
            <w:r>
              <w:rPr>
                <w:rFonts w:hint="eastAsia" w:ascii="仿宋_GB2312" w:hAnsi="仿宋_GB2312" w:eastAsia="仿宋_GB2312" w:cs="仿宋_GB2312"/>
                <w:snapToGrid w:val="0"/>
                <w:color w:val="000000"/>
                <w:spacing w:val="4"/>
                <w:kern w:val="0"/>
                <w:sz w:val="19"/>
                <w:szCs w:val="19"/>
                <w:highlight w:val="none"/>
                <w:lang w:val="en-US" w:eastAsia="zh-CN" w:bidi="ar-SA"/>
              </w:rPr>
              <w:t>6</w:t>
            </w:r>
          </w:p>
        </w:tc>
        <w:tc>
          <w:tcPr>
            <w:tcW w:w="331" w:type="pct"/>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仿宋_GB2312" w:eastAsia="仿宋_GB2312" w:cs="仿宋_GB2312"/>
                <w:snapToGrid w:val="0"/>
                <w:color w:val="000000"/>
                <w:spacing w:val="4"/>
                <w:kern w:val="0"/>
                <w:sz w:val="19"/>
                <w:szCs w:val="19"/>
                <w:highlight w:val="none"/>
                <w:lang w:val="en-US" w:eastAsia="zh-CN" w:bidi="ar-SA"/>
              </w:rPr>
            </w:pPr>
          </w:p>
        </w:tc>
        <w:tc>
          <w:tcPr>
            <w:tcW w:w="47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仿宋_GB2312" w:eastAsia="仿宋_GB2312" w:cs="仿宋_GB2312"/>
                <w:snapToGrid w:val="0"/>
                <w:color w:val="000000"/>
                <w:spacing w:val="4"/>
                <w:kern w:val="0"/>
                <w:sz w:val="19"/>
                <w:szCs w:val="19"/>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jc w:val="center"/>
        </w:trPr>
        <w:tc>
          <w:tcPr>
            <w:tcW w:w="238" w:type="pct"/>
            <w:gridSpan w:val="2"/>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仿宋_GB2312" w:eastAsia="仿宋_GB2312" w:cs="仿宋_GB2312"/>
                <w:snapToGrid w:val="0"/>
                <w:color w:val="000000"/>
                <w:spacing w:val="4"/>
                <w:kern w:val="0"/>
                <w:sz w:val="19"/>
                <w:szCs w:val="19"/>
                <w:highlight w:val="none"/>
                <w:lang w:val="en-US" w:eastAsia="zh-CN" w:bidi="ar-SA"/>
              </w:rPr>
            </w:pPr>
            <w:r>
              <w:rPr>
                <w:rFonts w:hint="eastAsia" w:ascii="仿宋_GB2312" w:hAnsi="仿宋_GB2312" w:eastAsia="仿宋_GB2312" w:cs="仿宋_GB2312"/>
                <w:snapToGrid w:val="0"/>
                <w:color w:val="000000"/>
                <w:spacing w:val="4"/>
                <w:kern w:val="0"/>
                <w:sz w:val="19"/>
                <w:szCs w:val="19"/>
                <w:highlight w:val="none"/>
                <w:lang w:val="en-US" w:eastAsia="zh-CN" w:bidi="ar-SA"/>
              </w:rPr>
              <w:t>8</w:t>
            </w:r>
          </w:p>
        </w:tc>
        <w:tc>
          <w:tcPr>
            <w:tcW w:w="708" w:type="pct"/>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仿宋_GB2312" w:eastAsia="仿宋_GB2312" w:cs="仿宋_GB2312"/>
                <w:snapToGrid w:val="0"/>
                <w:color w:val="000000"/>
                <w:spacing w:val="4"/>
                <w:kern w:val="0"/>
                <w:sz w:val="19"/>
                <w:szCs w:val="19"/>
                <w:highlight w:val="none"/>
                <w:lang w:val="en-US" w:eastAsia="zh-CN" w:bidi="ar-SA"/>
              </w:rPr>
            </w:pPr>
            <w:r>
              <w:rPr>
                <w:rFonts w:hint="eastAsia" w:ascii="仿宋_GB2312" w:hAnsi="仿宋_GB2312" w:eastAsia="仿宋_GB2312" w:cs="仿宋_GB2312"/>
                <w:snapToGrid w:val="0"/>
                <w:color w:val="000000"/>
                <w:spacing w:val="4"/>
                <w:kern w:val="0"/>
                <w:sz w:val="19"/>
                <w:szCs w:val="19"/>
                <w:highlight w:val="none"/>
                <w:lang w:val="en-US" w:eastAsia="zh-CN" w:bidi="ar-SA"/>
              </w:rPr>
              <w:t>药品追溯码系统</w:t>
            </w:r>
          </w:p>
        </w:tc>
        <w:tc>
          <w:tcPr>
            <w:tcW w:w="4920"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left"/>
              <w:textAlignment w:val="center"/>
              <w:rPr>
                <w:rFonts w:hint="eastAsia" w:ascii="仿宋_GB2312" w:hAnsi="仿宋_GB2312" w:eastAsia="仿宋_GB2312" w:cs="仿宋_GB2312"/>
                <w:snapToGrid w:val="0"/>
                <w:color w:val="000000"/>
                <w:spacing w:val="4"/>
                <w:kern w:val="0"/>
                <w:sz w:val="19"/>
                <w:szCs w:val="19"/>
                <w:highlight w:val="none"/>
                <w:lang w:val="en-US" w:eastAsia="zh-CN" w:bidi="ar-SA"/>
              </w:rPr>
            </w:pPr>
            <w:r>
              <w:rPr>
                <w:rFonts w:hint="eastAsia" w:ascii="仿宋_GB2312" w:hAnsi="仿宋_GB2312" w:eastAsia="仿宋_GB2312" w:cs="仿宋_GB2312"/>
                <w:snapToGrid w:val="0"/>
                <w:color w:val="000000"/>
                <w:spacing w:val="4"/>
                <w:kern w:val="0"/>
                <w:sz w:val="19"/>
                <w:szCs w:val="19"/>
                <w:highlight w:val="none"/>
                <w:lang w:val="en-US" w:eastAsia="zh-CN" w:bidi="ar-SA"/>
              </w:rPr>
              <w:t>具备并能够正常使用符合国家药品追溯管理要求的扫码核验与数据上传系统</w:t>
            </w:r>
          </w:p>
        </w:tc>
        <w:tc>
          <w:tcPr>
            <w:tcW w:w="317" w:type="pct"/>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仿宋_GB2312" w:eastAsia="仿宋_GB2312" w:cs="仿宋_GB2312"/>
                <w:snapToGrid w:val="0"/>
                <w:color w:val="000000"/>
                <w:spacing w:val="4"/>
                <w:kern w:val="0"/>
                <w:sz w:val="19"/>
                <w:szCs w:val="19"/>
                <w:highlight w:val="none"/>
                <w:lang w:val="en-US" w:eastAsia="zh-CN" w:bidi="ar-SA"/>
              </w:rPr>
            </w:pPr>
            <w:r>
              <w:rPr>
                <w:rFonts w:hint="eastAsia" w:ascii="仿宋_GB2312" w:hAnsi="仿宋_GB2312" w:eastAsia="仿宋_GB2312" w:cs="仿宋_GB2312"/>
                <w:snapToGrid w:val="0"/>
                <w:color w:val="000000"/>
                <w:spacing w:val="4"/>
                <w:kern w:val="0"/>
                <w:sz w:val="19"/>
                <w:szCs w:val="19"/>
                <w:highlight w:val="none"/>
                <w:lang w:val="en-US" w:eastAsia="zh-CN" w:bidi="ar-SA"/>
              </w:rPr>
              <w:t>10</w:t>
            </w:r>
          </w:p>
        </w:tc>
        <w:tc>
          <w:tcPr>
            <w:tcW w:w="331" w:type="pct"/>
            <w:gridSpan w:val="2"/>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仿宋_GB2312" w:eastAsia="仿宋_GB2312" w:cs="仿宋_GB2312"/>
                <w:snapToGrid w:val="0"/>
                <w:color w:val="000000"/>
                <w:spacing w:val="4"/>
                <w:kern w:val="0"/>
                <w:sz w:val="19"/>
                <w:szCs w:val="19"/>
                <w:highlight w:val="none"/>
                <w:lang w:val="en-US" w:eastAsia="zh-CN" w:bidi="ar-SA"/>
              </w:rPr>
            </w:pPr>
          </w:p>
        </w:tc>
        <w:tc>
          <w:tcPr>
            <w:tcW w:w="47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仿宋_GB2312" w:eastAsia="仿宋_GB2312" w:cs="仿宋_GB2312"/>
                <w:snapToGrid w:val="0"/>
                <w:color w:val="000000"/>
                <w:spacing w:val="4"/>
                <w:kern w:val="0"/>
                <w:sz w:val="19"/>
                <w:szCs w:val="19"/>
                <w:highlight w:val="none"/>
                <w:lang w:val="en-US" w:eastAsia="zh-CN" w:bidi="ar-SA"/>
              </w:rPr>
            </w:pPr>
            <w:r>
              <w:rPr>
                <w:rFonts w:hint="eastAsia" w:ascii="仿宋_GB2312" w:hAnsi="仿宋_GB2312" w:eastAsia="仿宋_GB2312" w:cs="仿宋_GB2312"/>
                <w:snapToGrid w:val="0"/>
                <w:color w:val="000000"/>
                <w:spacing w:val="4"/>
                <w:kern w:val="0"/>
                <w:sz w:val="19"/>
                <w:szCs w:val="19"/>
                <w:highlight w:val="none"/>
                <w:lang w:val="en-US" w:eastAsia="zh-CN" w:bidi="ar-SA"/>
              </w:rPr>
              <w:t>药品追溯系统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8" w:hRule="atLeast"/>
          <w:jc w:val="center"/>
        </w:trPr>
        <w:tc>
          <w:tcPr>
            <w:tcW w:w="238"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仿宋_GB2312" w:eastAsia="仿宋_GB2312" w:cs="仿宋_GB2312"/>
                <w:snapToGrid w:val="0"/>
                <w:color w:val="000000"/>
                <w:spacing w:val="4"/>
                <w:kern w:val="0"/>
                <w:sz w:val="19"/>
                <w:szCs w:val="19"/>
                <w:highlight w:val="none"/>
                <w:lang w:val="en-US" w:eastAsia="zh-CN" w:bidi="ar-SA"/>
              </w:rPr>
            </w:pPr>
            <w:r>
              <w:rPr>
                <w:rFonts w:hint="eastAsia" w:ascii="仿宋_GB2312" w:hAnsi="仿宋_GB2312" w:eastAsia="仿宋_GB2312" w:cs="仿宋_GB2312"/>
                <w:snapToGrid w:val="0"/>
                <w:color w:val="000000"/>
                <w:spacing w:val="4"/>
                <w:kern w:val="0"/>
                <w:sz w:val="19"/>
                <w:szCs w:val="19"/>
                <w:highlight w:val="none"/>
                <w:lang w:val="en-US" w:eastAsia="zh-CN" w:bidi="ar-SA"/>
              </w:rPr>
              <w:t>9</w:t>
            </w:r>
          </w:p>
        </w:tc>
        <w:tc>
          <w:tcPr>
            <w:tcW w:w="70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仿宋_GB2312" w:eastAsia="仿宋_GB2312" w:cs="仿宋_GB2312"/>
                <w:snapToGrid w:val="0"/>
                <w:color w:val="000000"/>
                <w:spacing w:val="4"/>
                <w:kern w:val="0"/>
                <w:sz w:val="19"/>
                <w:szCs w:val="19"/>
                <w:highlight w:val="none"/>
                <w:lang w:val="en-US" w:eastAsia="zh-CN" w:bidi="ar-SA"/>
              </w:rPr>
            </w:pPr>
            <w:r>
              <w:rPr>
                <w:rFonts w:hint="eastAsia" w:ascii="仿宋_GB2312" w:hAnsi="仿宋_GB2312" w:eastAsia="仿宋_GB2312" w:cs="仿宋_GB2312"/>
                <w:snapToGrid w:val="0"/>
                <w:color w:val="000000"/>
                <w:spacing w:val="4"/>
                <w:kern w:val="0"/>
                <w:sz w:val="19"/>
                <w:szCs w:val="19"/>
                <w:highlight w:val="none"/>
                <w:lang w:val="en-US" w:eastAsia="zh-CN" w:bidi="ar-SA"/>
              </w:rPr>
              <w:t>开展医保政策宣传</w:t>
            </w:r>
          </w:p>
        </w:tc>
        <w:tc>
          <w:tcPr>
            <w:tcW w:w="49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left"/>
              <w:textAlignment w:val="center"/>
              <w:rPr>
                <w:rFonts w:hint="eastAsia" w:ascii="仿宋_GB2312" w:hAnsi="仿宋_GB2312" w:eastAsia="仿宋_GB2312" w:cs="仿宋_GB2312"/>
                <w:snapToGrid w:val="0"/>
                <w:color w:val="000000"/>
                <w:spacing w:val="4"/>
                <w:kern w:val="0"/>
                <w:sz w:val="19"/>
                <w:szCs w:val="19"/>
                <w:highlight w:val="none"/>
                <w:lang w:val="en-US" w:eastAsia="zh-CN" w:bidi="ar-SA"/>
              </w:rPr>
            </w:pPr>
            <w:r>
              <w:rPr>
                <w:rFonts w:hint="eastAsia" w:ascii="仿宋_GB2312" w:hAnsi="仿宋_GB2312" w:eastAsia="仿宋_GB2312" w:cs="仿宋_GB2312"/>
                <w:snapToGrid w:val="0"/>
                <w:color w:val="000000"/>
                <w:spacing w:val="4"/>
                <w:kern w:val="0"/>
                <w:sz w:val="19"/>
                <w:szCs w:val="19"/>
                <w:highlight w:val="none"/>
                <w:lang w:val="en-US" w:eastAsia="zh-CN" w:bidi="ar-SA"/>
              </w:rPr>
              <w:t>设立宣传栏、电子屏等向购药的参保人员宣传医保主要政策、购药流程等，得10分</w:t>
            </w:r>
          </w:p>
        </w:tc>
        <w:tc>
          <w:tcPr>
            <w:tcW w:w="317" w:type="pc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仿宋_GB2312" w:eastAsia="仿宋_GB2312" w:cs="仿宋_GB2312"/>
                <w:snapToGrid w:val="0"/>
                <w:color w:val="000000"/>
                <w:spacing w:val="4"/>
                <w:kern w:val="0"/>
                <w:sz w:val="19"/>
                <w:szCs w:val="19"/>
                <w:highlight w:val="none"/>
                <w:lang w:val="en-US" w:eastAsia="zh-CN" w:bidi="ar-SA"/>
              </w:rPr>
            </w:pPr>
            <w:r>
              <w:rPr>
                <w:rFonts w:hint="eastAsia" w:ascii="仿宋_GB2312" w:hAnsi="仿宋_GB2312" w:eastAsia="仿宋_GB2312" w:cs="仿宋_GB2312"/>
                <w:snapToGrid w:val="0"/>
                <w:color w:val="000000"/>
                <w:spacing w:val="4"/>
                <w:kern w:val="0"/>
                <w:sz w:val="19"/>
                <w:szCs w:val="19"/>
                <w:highlight w:val="none"/>
                <w:lang w:val="en-US" w:eastAsia="zh-CN" w:bidi="ar-SA"/>
              </w:rPr>
              <w:t>10</w:t>
            </w:r>
          </w:p>
        </w:tc>
        <w:tc>
          <w:tcPr>
            <w:tcW w:w="331"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仿宋_GB2312" w:eastAsia="仿宋_GB2312" w:cs="仿宋_GB2312"/>
                <w:snapToGrid w:val="0"/>
                <w:color w:val="000000"/>
                <w:spacing w:val="4"/>
                <w:kern w:val="0"/>
                <w:sz w:val="19"/>
                <w:szCs w:val="19"/>
                <w:highlight w:val="none"/>
                <w:lang w:val="en-US" w:eastAsia="zh-CN" w:bidi="ar-SA"/>
              </w:rPr>
            </w:pPr>
          </w:p>
        </w:tc>
        <w:tc>
          <w:tcPr>
            <w:tcW w:w="4730" w:type="dxa"/>
            <w:tcBorders>
              <w:top w:val="single" w:color="000000" w:sz="4" w:space="0"/>
              <w:left w:val="single" w:color="auto"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spacing w:line="590" w:lineRule="exact"/>
              <w:jc w:val="both"/>
              <w:rPr>
                <w:rFonts w:hint="eastAsia" w:ascii="仿宋_GB2312" w:hAnsi="仿宋_GB2312" w:eastAsia="仿宋_GB2312" w:cs="仿宋_GB2312"/>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jc w:val="center"/>
        </w:trPr>
        <w:tc>
          <w:tcPr>
            <w:tcW w:w="238"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仿宋_GB2312" w:eastAsia="仿宋_GB2312" w:cs="仿宋_GB2312"/>
                <w:snapToGrid w:val="0"/>
                <w:color w:val="000000"/>
                <w:spacing w:val="4"/>
                <w:kern w:val="0"/>
                <w:sz w:val="19"/>
                <w:szCs w:val="19"/>
                <w:highlight w:val="none"/>
                <w:lang w:val="en-US" w:eastAsia="zh-CN" w:bidi="ar-SA"/>
              </w:rPr>
            </w:pPr>
            <w:r>
              <w:rPr>
                <w:rFonts w:hint="eastAsia" w:ascii="仿宋_GB2312" w:hAnsi="仿宋_GB2312" w:eastAsia="仿宋_GB2312" w:cs="仿宋_GB2312"/>
                <w:snapToGrid w:val="0"/>
                <w:color w:val="000000"/>
                <w:spacing w:val="4"/>
                <w:kern w:val="0"/>
                <w:sz w:val="19"/>
                <w:szCs w:val="19"/>
                <w:highlight w:val="none"/>
                <w:lang w:val="en-US" w:eastAsia="zh-CN" w:bidi="ar-SA"/>
              </w:rPr>
              <w:t>10</w:t>
            </w:r>
          </w:p>
        </w:tc>
        <w:tc>
          <w:tcPr>
            <w:tcW w:w="70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仿宋_GB2312" w:eastAsia="仿宋_GB2312" w:cs="仿宋_GB2312"/>
                <w:snapToGrid w:val="0"/>
                <w:color w:val="000000"/>
                <w:spacing w:val="4"/>
                <w:kern w:val="0"/>
                <w:sz w:val="19"/>
                <w:szCs w:val="19"/>
                <w:highlight w:val="none"/>
                <w:lang w:val="en-US" w:eastAsia="zh-CN" w:bidi="ar-SA"/>
              </w:rPr>
            </w:pPr>
            <w:r>
              <w:rPr>
                <w:rFonts w:hint="eastAsia" w:ascii="仿宋_GB2312" w:hAnsi="仿宋_GB2312" w:eastAsia="仿宋_GB2312" w:cs="仿宋_GB2312"/>
                <w:snapToGrid w:val="0"/>
                <w:color w:val="000000"/>
                <w:spacing w:val="4"/>
                <w:kern w:val="0"/>
                <w:sz w:val="19"/>
                <w:szCs w:val="19"/>
                <w:highlight w:val="none"/>
                <w:lang w:val="en-US" w:eastAsia="zh-CN" w:bidi="ar-SA"/>
              </w:rPr>
              <w:t>药师配备</w:t>
            </w:r>
          </w:p>
        </w:tc>
        <w:tc>
          <w:tcPr>
            <w:tcW w:w="49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left"/>
              <w:textAlignment w:val="center"/>
              <w:rPr>
                <w:rFonts w:hint="eastAsia" w:ascii="仿宋_GB2312" w:hAnsi="仿宋_GB2312" w:eastAsia="仿宋_GB2312" w:cs="仿宋_GB2312"/>
                <w:snapToGrid w:val="0"/>
                <w:color w:val="000000"/>
                <w:spacing w:val="4"/>
                <w:kern w:val="0"/>
                <w:sz w:val="19"/>
                <w:szCs w:val="19"/>
                <w:highlight w:val="none"/>
                <w:lang w:val="en-US" w:eastAsia="zh-CN" w:bidi="ar-SA"/>
              </w:rPr>
            </w:pPr>
            <w:r>
              <w:rPr>
                <w:rFonts w:hint="eastAsia" w:ascii="仿宋_GB2312" w:hAnsi="仿宋_GB2312" w:eastAsia="仿宋_GB2312" w:cs="仿宋_GB2312"/>
                <w:snapToGrid w:val="0"/>
                <w:color w:val="000000"/>
                <w:spacing w:val="4"/>
                <w:kern w:val="0"/>
                <w:sz w:val="19"/>
                <w:szCs w:val="19"/>
                <w:highlight w:val="none"/>
                <w:lang w:val="en-US" w:eastAsia="zh-CN" w:bidi="ar-SA"/>
              </w:rPr>
              <w:t>注册在本药店并在本药店专职服务的执业药师达到1名的，得5分，每增加一名加2分，最高得10分。</w:t>
            </w:r>
          </w:p>
        </w:tc>
        <w:tc>
          <w:tcPr>
            <w:tcW w:w="317" w:type="pc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仿宋_GB2312" w:eastAsia="仿宋_GB2312" w:cs="仿宋_GB2312"/>
                <w:snapToGrid w:val="0"/>
                <w:color w:val="000000"/>
                <w:spacing w:val="4"/>
                <w:kern w:val="0"/>
                <w:sz w:val="19"/>
                <w:szCs w:val="19"/>
                <w:highlight w:val="none"/>
                <w:lang w:val="en-US" w:eastAsia="zh-CN" w:bidi="ar-SA"/>
              </w:rPr>
            </w:pPr>
            <w:r>
              <w:rPr>
                <w:rFonts w:hint="eastAsia" w:ascii="仿宋_GB2312" w:hAnsi="仿宋_GB2312" w:eastAsia="仿宋_GB2312" w:cs="仿宋_GB2312"/>
                <w:snapToGrid w:val="0"/>
                <w:color w:val="000000"/>
                <w:spacing w:val="4"/>
                <w:kern w:val="0"/>
                <w:sz w:val="19"/>
                <w:szCs w:val="19"/>
                <w:highlight w:val="none"/>
                <w:lang w:val="en-US" w:eastAsia="zh-CN" w:bidi="ar-SA"/>
              </w:rPr>
              <w:t>10</w:t>
            </w:r>
          </w:p>
        </w:tc>
        <w:tc>
          <w:tcPr>
            <w:tcW w:w="331"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仿宋_GB2312" w:eastAsia="仿宋_GB2312" w:cs="仿宋_GB2312"/>
                <w:snapToGrid w:val="0"/>
                <w:color w:val="000000"/>
                <w:spacing w:val="4"/>
                <w:kern w:val="0"/>
                <w:sz w:val="19"/>
                <w:szCs w:val="19"/>
                <w:highlight w:val="none"/>
                <w:lang w:val="en-US" w:eastAsia="zh-CN" w:bidi="ar-SA"/>
              </w:rPr>
            </w:pPr>
          </w:p>
        </w:tc>
        <w:tc>
          <w:tcPr>
            <w:tcW w:w="4730" w:type="dxa"/>
            <w:tcBorders>
              <w:top w:val="single" w:color="000000" w:sz="4" w:space="0"/>
              <w:left w:val="single" w:color="auto"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spacing w:line="590" w:lineRule="exact"/>
              <w:jc w:val="both"/>
              <w:rPr>
                <w:rFonts w:hint="eastAsia" w:ascii="仿宋_GB2312" w:hAnsi="仿宋_GB2312" w:eastAsia="仿宋_GB2312" w:cs="仿宋_GB2312"/>
                <w:i w:val="0"/>
                <w:iCs w:val="0"/>
                <w:color w:val="000000"/>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9" w:hRule="atLeast"/>
          <w:jc w:val="center"/>
        </w:trPr>
        <w:tc>
          <w:tcPr>
            <w:tcW w:w="238"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仿宋_GB2312" w:eastAsia="仿宋_GB2312" w:cs="仿宋_GB2312"/>
                <w:snapToGrid w:val="0"/>
                <w:color w:val="000000"/>
                <w:spacing w:val="4"/>
                <w:kern w:val="0"/>
                <w:sz w:val="19"/>
                <w:szCs w:val="19"/>
                <w:highlight w:val="none"/>
                <w:lang w:val="en-US" w:eastAsia="zh-CN" w:bidi="ar-SA"/>
              </w:rPr>
            </w:pPr>
            <w:r>
              <w:rPr>
                <w:rFonts w:hint="eastAsia" w:ascii="仿宋_GB2312" w:hAnsi="仿宋_GB2312" w:eastAsia="仿宋_GB2312" w:cs="仿宋_GB2312"/>
                <w:snapToGrid w:val="0"/>
                <w:color w:val="000000"/>
                <w:spacing w:val="4"/>
                <w:kern w:val="0"/>
                <w:sz w:val="19"/>
                <w:szCs w:val="19"/>
                <w:highlight w:val="none"/>
                <w:lang w:val="en-US" w:eastAsia="zh-CN" w:bidi="ar-SA"/>
              </w:rPr>
              <w:t>11</w:t>
            </w:r>
          </w:p>
        </w:tc>
        <w:tc>
          <w:tcPr>
            <w:tcW w:w="70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仿宋_GB2312" w:eastAsia="仿宋_GB2312" w:cs="仿宋_GB2312"/>
                <w:snapToGrid w:val="0"/>
                <w:color w:val="000000"/>
                <w:spacing w:val="4"/>
                <w:kern w:val="0"/>
                <w:sz w:val="19"/>
                <w:szCs w:val="19"/>
                <w:highlight w:val="none"/>
                <w:lang w:val="en-US" w:eastAsia="zh-CN" w:bidi="ar-SA"/>
              </w:rPr>
            </w:pPr>
            <w:r>
              <w:rPr>
                <w:rFonts w:hint="eastAsia" w:ascii="仿宋_GB2312" w:hAnsi="仿宋_GB2312" w:eastAsia="仿宋_GB2312" w:cs="仿宋_GB2312"/>
                <w:snapToGrid w:val="0"/>
                <w:color w:val="000000"/>
                <w:spacing w:val="4"/>
                <w:kern w:val="0"/>
                <w:sz w:val="19"/>
                <w:szCs w:val="19"/>
                <w:highlight w:val="none"/>
                <w:lang w:val="en-US" w:eastAsia="zh-CN" w:bidi="ar-SA"/>
              </w:rPr>
              <w:t>具备冷链服务条件</w:t>
            </w:r>
          </w:p>
        </w:tc>
        <w:tc>
          <w:tcPr>
            <w:tcW w:w="49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left"/>
              <w:textAlignment w:val="center"/>
              <w:rPr>
                <w:rFonts w:hint="eastAsia" w:ascii="仿宋_GB2312" w:hAnsi="仿宋_GB2312" w:eastAsia="仿宋_GB2312" w:cs="仿宋_GB2312"/>
                <w:snapToGrid w:val="0"/>
                <w:color w:val="000000"/>
                <w:spacing w:val="4"/>
                <w:kern w:val="0"/>
                <w:sz w:val="19"/>
                <w:szCs w:val="19"/>
                <w:highlight w:val="none"/>
                <w:lang w:val="en-US" w:eastAsia="zh-CN" w:bidi="ar-SA"/>
              </w:rPr>
            </w:pPr>
            <w:r>
              <w:rPr>
                <w:rFonts w:hint="eastAsia" w:ascii="仿宋_GB2312" w:hAnsi="仿宋_GB2312" w:eastAsia="仿宋_GB2312" w:cs="仿宋_GB2312"/>
                <w:snapToGrid w:val="0"/>
                <w:color w:val="000000"/>
                <w:spacing w:val="4"/>
                <w:kern w:val="0"/>
                <w:sz w:val="19"/>
                <w:szCs w:val="19"/>
                <w:highlight w:val="none"/>
                <w:lang w:val="en-US" w:eastAsia="zh-CN" w:bidi="ar-SA"/>
              </w:rPr>
              <w:t>配备阴凉柜2组的，得2分，4组及以上得4分。另设有冷链药品专业冷藏柜，350立升以下的得2分，350立升以上的得4分。</w:t>
            </w:r>
          </w:p>
        </w:tc>
        <w:tc>
          <w:tcPr>
            <w:tcW w:w="317" w:type="pc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仿宋_GB2312" w:eastAsia="仿宋_GB2312" w:cs="仿宋_GB2312"/>
                <w:snapToGrid w:val="0"/>
                <w:color w:val="000000"/>
                <w:spacing w:val="4"/>
                <w:kern w:val="0"/>
                <w:sz w:val="19"/>
                <w:szCs w:val="19"/>
                <w:highlight w:val="none"/>
                <w:lang w:val="en-US" w:eastAsia="zh-CN" w:bidi="ar-SA"/>
              </w:rPr>
            </w:pPr>
            <w:r>
              <w:rPr>
                <w:rFonts w:hint="eastAsia" w:ascii="仿宋_GB2312" w:hAnsi="仿宋_GB2312" w:eastAsia="仿宋_GB2312" w:cs="仿宋_GB2312"/>
                <w:snapToGrid w:val="0"/>
                <w:color w:val="000000"/>
                <w:spacing w:val="4"/>
                <w:kern w:val="0"/>
                <w:sz w:val="19"/>
                <w:szCs w:val="19"/>
                <w:highlight w:val="none"/>
                <w:lang w:val="en-US" w:eastAsia="zh-CN" w:bidi="ar-SA"/>
              </w:rPr>
              <w:t>8</w:t>
            </w:r>
          </w:p>
        </w:tc>
        <w:tc>
          <w:tcPr>
            <w:tcW w:w="331"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仿宋_GB2312" w:eastAsia="仿宋_GB2312" w:cs="仿宋_GB2312"/>
                <w:snapToGrid w:val="0"/>
                <w:color w:val="000000"/>
                <w:spacing w:val="4"/>
                <w:kern w:val="0"/>
                <w:sz w:val="19"/>
                <w:szCs w:val="19"/>
                <w:highlight w:val="none"/>
                <w:lang w:val="en-US" w:eastAsia="zh-CN" w:bidi="ar-SA"/>
              </w:rPr>
            </w:pPr>
          </w:p>
        </w:tc>
        <w:tc>
          <w:tcPr>
            <w:tcW w:w="4730" w:type="dxa"/>
            <w:tcBorders>
              <w:top w:val="single" w:color="000000" w:sz="4" w:space="0"/>
              <w:left w:val="single" w:color="auto"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spacing w:line="590" w:lineRule="exact"/>
              <w:jc w:val="both"/>
              <w:rPr>
                <w:rFonts w:hint="eastAsia" w:ascii="仿宋_GB2312" w:hAnsi="仿宋_GB2312" w:eastAsia="仿宋_GB2312" w:cs="仿宋_GB2312"/>
                <w:i w:val="0"/>
                <w:iCs w:val="0"/>
                <w:color w:val="000000"/>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4" w:hRule="atLeast"/>
          <w:jc w:val="center"/>
        </w:trPr>
        <w:tc>
          <w:tcPr>
            <w:tcW w:w="2682" w:type="pct"/>
            <w:gridSpan w:val="4"/>
            <w:tcBorders>
              <w:top w:val="single" w:color="auto"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仿宋_GB2312" w:eastAsia="仿宋_GB2312" w:cs="仿宋_GB2312"/>
                <w:snapToGrid w:val="0"/>
                <w:color w:val="000000"/>
                <w:spacing w:val="4"/>
                <w:kern w:val="0"/>
                <w:sz w:val="19"/>
                <w:szCs w:val="19"/>
                <w:highlight w:val="none"/>
                <w:lang w:val="en-US" w:eastAsia="zh-CN" w:bidi="ar-SA"/>
              </w:rPr>
            </w:pPr>
            <w:r>
              <w:rPr>
                <w:rFonts w:hint="eastAsia" w:ascii="仿宋_GB2312" w:hAnsi="仿宋_GB2312" w:eastAsia="仿宋_GB2312" w:cs="仿宋_GB2312"/>
                <w:snapToGrid w:val="0"/>
                <w:color w:val="000000"/>
                <w:spacing w:val="4"/>
                <w:kern w:val="0"/>
                <w:sz w:val="19"/>
                <w:szCs w:val="19"/>
                <w:highlight w:val="none"/>
                <w:lang w:val="en-US" w:eastAsia="zh-CN" w:bidi="ar-SA"/>
              </w:rPr>
              <w:t>分值合计</w:t>
            </w:r>
          </w:p>
        </w:tc>
        <w:tc>
          <w:tcPr>
            <w:tcW w:w="317" w:type="pct"/>
            <w:tcBorders>
              <w:top w:val="single" w:color="auto" w:sz="4" w:space="0"/>
              <w:left w:val="single" w:color="000000" w:sz="4" w:space="0"/>
              <w:bottom w:val="single" w:color="000000" w:sz="4" w:space="0"/>
              <w:right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仿宋_GB2312" w:eastAsia="仿宋_GB2312" w:cs="仿宋_GB2312"/>
                <w:snapToGrid w:val="0"/>
                <w:color w:val="000000"/>
                <w:spacing w:val="4"/>
                <w:kern w:val="0"/>
                <w:sz w:val="19"/>
                <w:szCs w:val="19"/>
                <w:highlight w:val="none"/>
                <w:lang w:val="en-US" w:eastAsia="zh-CN" w:bidi="ar-SA"/>
              </w:rPr>
            </w:pPr>
            <w:r>
              <w:rPr>
                <w:rFonts w:hint="eastAsia" w:ascii="仿宋_GB2312" w:hAnsi="仿宋_GB2312" w:eastAsia="仿宋_GB2312" w:cs="仿宋_GB2312"/>
                <w:snapToGrid w:val="0"/>
                <w:color w:val="000000"/>
                <w:spacing w:val="4"/>
                <w:kern w:val="0"/>
                <w:sz w:val="19"/>
                <w:szCs w:val="19"/>
                <w:highlight w:val="none"/>
                <w:lang w:val="en-US" w:eastAsia="zh-CN" w:bidi="ar-SA"/>
              </w:rPr>
              <w:t>100</w:t>
            </w:r>
          </w:p>
        </w:tc>
        <w:tc>
          <w:tcPr>
            <w:tcW w:w="331" w:type="pct"/>
            <w:gridSpan w:val="2"/>
            <w:tcBorders>
              <w:top w:val="single" w:color="auto"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90" w:lineRule="exact"/>
              <w:jc w:val="center"/>
              <w:textAlignment w:val="center"/>
              <w:rPr>
                <w:rFonts w:hint="eastAsia" w:ascii="仿宋_GB2312" w:hAnsi="仿宋_GB2312" w:eastAsia="仿宋_GB2312" w:cs="仿宋_GB2312"/>
                <w:snapToGrid w:val="0"/>
                <w:color w:val="000000"/>
                <w:spacing w:val="4"/>
                <w:kern w:val="0"/>
                <w:sz w:val="19"/>
                <w:szCs w:val="19"/>
                <w:highlight w:val="none"/>
                <w:lang w:val="en-US" w:eastAsia="zh-CN" w:bidi="ar-SA"/>
              </w:rPr>
            </w:pPr>
          </w:p>
        </w:tc>
        <w:tc>
          <w:tcPr>
            <w:tcW w:w="166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spacing w:line="590" w:lineRule="exact"/>
              <w:jc w:val="center"/>
              <w:rPr>
                <w:rFonts w:hint="eastAsia" w:ascii="仿宋_GB2312" w:hAnsi="仿宋_GB2312" w:eastAsia="仿宋_GB2312" w:cs="仿宋_GB2312"/>
                <w:i w:val="0"/>
                <w:iCs w:val="0"/>
                <w:color w:val="000000"/>
                <w:sz w:val="24"/>
                <w:szCs w:val="24"/>
                <w:highlight w:val="none"/>
                <w:u w:val="none"/>
              </w:rPr>
            </w:pPr>
          </w:p>
        </w:tc>
      </w:tr>
    </w:tbl>
    <w:p>
      <w:pPr>
        <w:keepNext w:val="0"/>
        <w:keepLines w:val="0"/>
        <w:pageBreakBefore w:val="0"/>
        <w:wordWrap/>
        <w:overflowPunct/>
        <w:topLinePunct w:val="0"/>
        <w:bidi w:val="0"/>
        <w:spacing w:line="590" w:lineRule="exact"/>
        <w:jc w:val="left"/>
        <w:rPr>
          <w:rFonts w:hint="eastAsia"/>
          <w:lang w:eastAsia="zh-CN"/>
        </w:rPr>
      </w:pPr>
    </w:p>
    <w:p>
      <w:pPr>
        <w:pStyle w:val="2"/>
        <w:keepNext w:val="0"/>
        <w:keepLines w:val="0"/>
        <w:pageBreakBefore w:val="0"/>
        <w:wordWrap/>
        <w:overflowPunct/>
        <w:topLinePunct w:val="0"/>
        <w:bidi w:val="0"/>
        <w:spacing w:line="590" w:lineRule="exact"/>
        <w:rPr>
          <w:rFonts w:hint="eastAsia"/>
          <w:lang w:eastAsia="zh-CN"/>
        </w:rPr>
        <w:sectPr>
          <w:headerReference r:id="rId5" w:type="default"/>
          <w:footerReference r:id="rId6" w:type="default"/>
          <w:pgSz w:w="16838" w:h="11906" w:orient="landscape"/>
          <w:pgMar w:top="1587" w:right="1962" w:bottom="1359" w:left="1848" w:header="454" w:footer="680" w:gutter="0"/>
          <w:pgNumType w:fmt="numberInDash"/>
          <w:cols w:space="0" w:num="1"/>
          <w:rtlGutter w:val="0"/>
          <w:docGrid w:type="lines" w:linePitch="442" w:charSpace="0"/>
        </w:sectPr>
      </w:pPr>
    </w:p>
    <w:p>
      <w:pPr>
        <w:keepNext w:val="0"/>
        <w:keepLines w:val="0"/>
        <w:pageBreakBefore w:val="0"/>
        <w:widowControl w:val="0"/>
        <w:kinsoku/>
        <w:wordWrap/>
        <w:overflowPunct/>
        <w:topLinePunct w:val="0"/>
        <w:autoSpaceDE/>
        <w:autoSpaceDN/>
        <w:bidi w:val="0"/>
        <w:adjustRightInd/>
        <w:snapToGrid/>
        <w:spacing w:line="590" w:lineRule="exact"/>
        <w:textAlignment w:val="auto"/>
        <w:rPr>
          <w:rFonts w:hint="eastAsia"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附件5</w:t>
      </w:r>
    </w:p>
    <w:p>
      <w:pPr>
        <w:pStyle w:val="2"/>
        <w:rPr>
          <w:rFonts w:hint="default"/>
          <w:lang w:val="en-US" w:eastAsia="zh-CN"/>
        </w:rPr>
      </w:pPr>
    </w:p>
    <w:p>
      <w:pPr>
        <w:keepNext w:val="0"/>
        <w:keepLines w:val="0"/>
        <w:pageBreakBefore w:val="0"/>
        <w:widowControl w:val="0"/>
        <w:kinsoku/>
        <w:wordWrap/>
        <w:overflowPunct/>
        <w:topLinePunct w:val="0"/>
        <w:autoSpaceDE/>
        <w:autoSpaceDN/>
        <w:bidi w:val="0"/>
        <w:adjustRightInd/>
        <w:snapToGrid w:val="0"/>
        <w:spacing w:line="590" w:lineRule="exact"/>
        <w:jc w:val="center"/>
        <w:textAlignment w:val="auto"/>
        <w:outlineLvl w:val="9"/>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医药机构定点评估结果告知书</w:t>
      </w:r>
    </w:p>
    <w:p>
      <w:pPr>
        <w:pStyle w:val="2"/>
        <w:rPr>
          <w:rFonts w:hint="eastAsia"/>
          <w:lang w:val="en-US" w:eastAsia="zh-CN"/>
        </w:rPr>
      </w:pPr>
    </w:p>
    <w:p>
      <w:pPr>
        <w:keepNext w:val="0"/>
        <w:keepLines w:val="0"/>
        <w:pageBreakBefore w:val="0"/>
        <w:widowControl w:val="0"/>
        <w:tabs>
          <w:tab w:val="left" w:pos="2893"/>
        </w:tabs>
        <w:kinsoku/>
        <w:wordWrap/>
        <w:overflowPunct/>
        <w:topLinePunct w:val="0"/>
        <w:autoSpaceDE/>
        <w:autoSpaceDN/>
        <w:bidi w:val="0"/>
        <w:adjustRightInd/>
        <w:spacing w:before="226" w:line="590" w:lineRule="exact"/>
        <w:ind w:left="14"/>
        <w:jc w:val="both"/>
        <w:textAlignment w:val="auto"/>
        <w:rPr>
          <w:rFonts w:hint="eastAsia" w:ascii="仿宋_GB2312" w:hAnsi="仿宋_GB2312" w:eastAsia="仿宋_GB2312" w:cs="仿宋_GB2312"/>
          <w:color w:val="auto"/>
          <w:spacing w:val="7"/>
          <w:sz w:val="32"/>
          <w:szCs w:val="32"/>
          <w:highlight w:val="none"/>
        </w:rPr>
      </w:pPr>
      <w:r>
        <w:rPr>
          <w:rFonts w:ascii="仿宋" w:hAnsi="仿宋" w:eastAsia="仿宋" w:cs="仿宋"/>
          <w:color w:val="auto"/>
          <w:sz w:val="31"/>
          <w:szCs w:val="31"/>
          <w:highlight w:val="none"/>
          <w:u w:val="single" w:color="auto"/>
        </w:rPr>
        <w:tab/>
      </w:r>
      <w:r>
        <w:rPr>
          <w:rFonts w:ascii="仿宋" w:hAnsi="仿宋" w:eastAsia="仿宋" w:cs="仿宋"/>
          <w:color w:val="auto"/>
          <w:spacing w:val="-110"/>
          <w:sz w:val="31"/>
          <w:szCs w:val="31"/>
          <w:highlight w:val="none"/>
        </w:rPr>
        <w:t xml:space="preserve"> </w:t>
      </w:r>
      <w:r>
        <w:rPr>
          <w:rFonts w:ascii="仿宋" w:hAnsi="仿宋" w:eastAsia="仿宋" w:cs="仿宋"/>
          <w:color w:val="auto"/>
          <w:sz w:val="31"/>
          <w:szCs w:val="31"/>
          <w:highlight w:val="none"/>
        </w:rPr>
        <w:t>:</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我单位于      年      月      日受理你单位提交的定点医药机构申请。经过核查评估，你单位评估结果为</w:t>
      </w:r>
      <w:r>
        <w:rPr>
          <w:rFonts w:hint="default" w:ascii="Times New Roman" w:hAnsi="Times New Roman" w:eastAsia="方正仿宋_GBK" w:cs="Times New Roman"/>
          <w:sz w:val="32"/>
          <w:szCs w:val="32"/>
          <w:lang w:val="en-US" w:eastAsia="zh-CN"/>
        </w:rPr>
        <w:t xml:space="preserve">        分，本次你单位所在网格内同类别的机构规划    家，你单位排名第     ，（纳入   不纳入 ）定点管理。</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评估不合格（</w:t>
      </w:r>
      <w:r>
        <w:rPr>
          <w:rFonts w:hint="default" w:ascii="Times New Roman" w:hAnsi="Times New Roman" w:eastAsia="方正仿宋_GBK" w:cs="Times New Roman"/>
          <w:sz w:val="32"/>
          <w:szCs w:val="32"/>
          <w:lang w:val="en-US" w:eastAsia="zh-CN"/>
        </w:rPr>
        <w:t>80分及以下</w:t>
      </w:r>
      <w:r>
        <w:rPr>
          <w:rFonts w:hint="default" w:ascii="Times New Roman" w:hAnsi="Times New Roman" w:eastAsia="方正仿宋_GBK" w:cs="Times New Roman"/>
          <w:sz w:val="32"/>
          <w:szCs w:val="32"/>
          <w:lang w:eastAsia="zh-CN"/>
        </w:rPr>
        <w:t>）请关注以下事项：</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评估</w:t>
      </w:r>
      <w:r>
        <w:rPr>
          <w:rFonts w:hint="default" w:ascii="Times New Roman" w:hAnsi="Times New Roman" w:eastAsia="方正仿宋_GBK" w:cs="Times New Roman"/>
          <w:sz w:val="32"/>
          <w:szCs w:val="32"/>
          <w:lang w:eastAsia="zh-CN"/>
        </w:rPr>
        <w:t>未达标项目为</w:t>
      </w:r>
      <w:r>
        <w:rPr>
          <w:rFonts w:hint="default" w:ascii="Times New Roman" w:hAnsi="Times New Roman" w:eastAsia="方正仿宋_GBK" w:cs="Times New Roman"/>
          <w:sz w:val="32"/>
          <w:szCs w:val="32"/>
        </w:rPr>
        <w:t>以下事项：</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u w:val="single"/>
        </w:rPr>
      </w:pPr>
      <w:r>
        <w:rPr>
          <w:rFonts w:hint="default" w:ascii="Times New Roman" w:hAnsi="Times New Roman" w:eastAsia="方正仿宋_GBK" w:cs="Times New Roman"/>
          <w:sz w:val="32"/>
          <w:szCs w:val="32"/>
          <w:u w:val="single"/>
        </w:rPr>
        <w:tab/>
      </w:r>
      <w:r>
        <w:rPr>
          <w:rFonts w:hint="default" w:ascii="Times New Roman" w:hAnsi="Times New Roman" w:eastAsia="方正仿宋_GBK" w:cs="Times New Roman"/>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u w:val="single"/>
        </w:rPr>
      </w:pPr>
      <w:r>
        <w:rPr>
          <w:rFonts w:hint="default" w:ascii="Times New Roman" w:hAnsi="Times New Roman" w:eastAsia="方正仿宋_GBK" w:cs="Times New Roman"/>
          <w:sz w:val="32"/>
          <w:szCs w:val="32"/>
          <w:u w:val="single"/>
        </w:rPr>
        <w:tab/>
      </w:r>
      <w:r>
        <w:rPr>
          <w:rFonts w:hint="default" w:ascii="Times New Roman" w:hAnsi="Times New Roman" w:eastAsia="方正仿宋_GBK" w:cs="Times New Roman"/>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u w:val="single"/>
        </w:rPr>
      </w:pPr>
      <w:r>
        <w:rPr>
          <w:rFonts w:hint="default" w:ascii="Times New Roman" w:hAnsi="Times New Roman" w:eastAsia="方正仿宋_GBK" w:cs="Times New Roman"/>
          <w:sz w:val="32"/>
          <w:szCs w:val="32"/>
          <w:u w:val="single"/>
        </w:rPr>
        <w:tab/>
      </w:r>
      <w:r>
        <w:rPr>
          <w:rFonts w:hint="default" w:ascii="Times New Roman" w:hAnsi="Times New Roman" w:eastAsia="方正仿宋_GBK" w:cs="Times New Roman"/>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u w:val="single"/>
          <w:lang w:val="en-US" w:eastAsia="zh-CN"/>
        </w:rPr>
      </w:pPr>
      <w:r>
        <w:rPr>
          <w:rFonts w:hint="default" w:ascii="Times New Roman" w:hAnsi="Times New Roman" w:eastAsia="方正仿宋_GBK" w:cs="Times New Roman"/>
          <w:sz w:val="32"/>
          <w:szCs w:val="32"/>
          <w:u w:val="single"/>
        </w:rPr>
        <w:tab/>
      </w:r>
      <w:r>
        <w:rPr>
          <w:rFonts w:hint="default" w:ascii="Times New Roman" w:hAnsi="Times New Roman" w:eastAsia="方正仿宋_GBK" w:cs="Times New Roman"/>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rPr>
      </w:pPr>
      <w:r>
        <w:rPr>
          <w:rFonts w:hint="default" w:ascii="Times New Roman" w:hAnsi="Times New Roman" w:eastAsia="方正仿宋_GBK" w:cs="Times New Roman"/>
          <w:sz w:val="32"/>
          <w:szCs w:val="32"/>
        </w:rPr>
        <w:t>2.评估</w:t>
      </w:r>
      <w:r>
        <w:rPr>
          <w:rFonts w:hint="default" w:ascii="Times New Roman" w:hAnsi="Times New Roman" w:eastAsia="方正仿宋_GBK" w:cs="Times New Roman"/>
          <w:sz w:val="32"/>
          <w:szCs w:val="32"/>
          <w:lang w:val="en-US" w:eastAsia="zh-CN"/>
        </w:rPr>
        <w:t>不合格</w:t>
      </w:r>
      <w:r>
        <w:rPr>
          <w:rFonts w:hint="default" w:ascii="Times New Roman" w:hAnsi="Times New Roman" w:eastAsia="方正仿宋_GBK" w:cs="Times New Roman"/>
          <w:sz w:val="32"/>
          <w:szCs w:val="32"/>
        </w:rPr>
        <w:t>单位可在收到本告知书之日起，进行整改，</w:t>
      </w:r>
      <w:r>
        <w:rPr>
          <w:rFonts w:hint="default" w:ascii="Times New Roman" w:hAnsi="Times New Roman" w:eastAsia="方正仿宋_GBK" w:cs="Times New Roman"/>
          <w:sz w:val="32"/>
          <w:szCs w:val="32"/>
          <w:lang w:eastAsia="zh-CN"/>
        </w:rPr>
        <w:t>若仍有</w:t>
      </w:r>
      <w:r>
        <w:rPr>
          <w:rFonts w:hint="default" w:ascii="Times New Roman" w:hAnsi="Times New Roman" w:eastAsia="方正仿宋_GBK" w:cs="Times New Roman"/>
          <w:sz w:val="32"/>
          <w:szCs w:val="32"/>
          <w:lang w:val="en-US" w:eastAsia="zh-CN"/>
        </w:rPr>
        <w:t>定点资源</w:t>
      </w:r>
      <w:r>
        <w:rPr>
          <w:rFonts w:hint="default" w:ascii="Times New Roman" w:hAnsi="Times New Roman" w:eastAsia="方正仿宋_GBK" w:cs="Times New Roman"/>
          <w:sz w:val="32"/>
          <w:szCs w:val="32"/>
          <w:lang w:eastAsia="zh-CN"/>
        </w:rPr>
        <w:t>规划</w:t>
      </w:r>
      <w:r>
        <w:rPr>
          <w:rFonts w:hint="default" w:ascii="Times New Roman" w:hAnsi="Times New Roman" w:eastAsia="方正仿宋_GBK" w:cs="Times New Roman"/>
          <w:sz w:val="32"/>
          <w:szCs w:val="32"/>
          <w:lang w:val="en-US" w:eastAsia="zh-CN"/>
        </w:rPr>
        <w:t>数</w:t>
      </w:r>
      <w:r>
        <w:rPr>
          <w:rFonts w:hint="default" w:ascii="Times New Roman" w:hAnsi="Times New Roman" w:eastAsia="方正仿宋_GBK" w:cs="Times New Roman"/>
          <w:sz w:val="32"/>
          <w:szCs w:val="32"/>
          <w:lang w:eastAsia="zh-CN"/>
        </w:rPr>
        <w:t>缺口，则</w:t>
      </w:r>
      <w:r>
        <w:rPr>
          <w:rFonts w:hint="default" w:ascii="Times New Roman" w:hAnsi="Times New Roman" w:eastAsia="方正仿宋_GBK" w:cs="Times New Roman"/>
          <w:sz w:val="32"/>
          <w:szCs w:val="32"/>
        </w:rPr>
        <w:t>整改3 个月后可再次组织评估，评估仍不合格的，1 年内不得再次申请</w:t>
      </w:r>
      <w:r>
        <w:rPr>
          <w:rFonts w:hint="default" w:ascii="Times New Roman" w:hAnsi="Times New Roman" w:eastAsia="方正仿宋_GBK" w:cs="Times New Roman"/>
          <w:sz w:val="32"/>
          <w:szCs w:val="32"/>
          <w:lang w:eastAsia="zh-CN"/>
        </w:rPr>
        <w:t>；若无规划缺口，则暂不接受申请</w:t>
      </w:r>
      <w:r>
        <w:rPr>
          <w:rFonts w:hint="default" w:ascii="Times New Roman" w:hAnsi="Times New Roman" w:eastAsia="方正仿宋_GBK" w:cs="Times New Roman"/>
          <w:sz w:val="32"/>
          <w:szCs w:val="32"/>
        </w:rPr>
        <w:t>。</w:t>
      </w:r>
    </w:p>
    <w:p>
      <w:pPr>
        <w:keepNext w:val="0"/>
        <w:keepLines w:val="0"/>
        <w:pageBreakBefore w:val="0"/>
        <w:widowControl w:val="0"/>
        <w:kinsoku/>
        <w:wordWrap/>
        <w:overflowPunct/>
        <w:topLinePunct w:val="0"/>
        <w:autoSpaceDE/>
        <w:autoSpaceDN/>
        <w:bidi w:val="0"/>
        <w:adjustRightInd/>
        <w:snapToGrid/>
        <w:spacing w:line="590" w:lineRule="exact"/>
        <w:ind w:left="7040" w:leftChars="2200" w:firstLine="640" w:firstLineChars="200"/>
        <w:jc w:val="both"/>
        <w:textAlignment w:val="auto"/>
        <w:rPr>
          <w:rFonts w:hint="default" w:ascii="Times New Roman" w:hAnsi="Times New Roman" w:eastAsia="方正仿宋_GBK" w:cs="Times New Roman"/>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left="7040" w:leftChars="220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(印章)</w:t>
      </w:r>
    </w:p>
    <w:p>
      <w:pPr>
        <w:keepNext w:val="0"/>
        <w:keepLines w:val="0"/>
        <w:pageBreakBefore w:val="0"/>
        <w:widowControl w:val="0"/>
        <w:kinsoku/>
        <w:wordWrap/>
        <w:overflowPunct/>
        <w:topLinePunct w:val="0"/>
        <w:autoSpaceDE/>
        <w:autoSpaceDN/>
        <w:bidi w:val="0"/>
        <w:adjustRightInd/>
        <w:snapToGrid/>
        <w:spacing w:line="590" w:lineRule="exact"/>
        <w:jc w:val="right"/>
        <w:textAlignment w:val="auto"/>
        <w:rPr>
          <w:rFonts w:hint="eastAsia" w:ascii="方正黑体_GBK" w:hAnsi="方正黑体_GBK" w:eastAsia="方正黑体_GBK" w:cs="方正黑体_GBK"/>
          <w:color w:val="auto"/>
          <w:sz w:val="32"/>
          <w:szCs w:val="32"/>
          <w:lang w:val="en-US" w:eastAsia="zh-CN"/>
        </w:rPr>
      </w:pPr>
      <w:r>
        <w:rPr>
          <w:rFonts w:hint="default" w:ascii="Times New Roman" w:hAnsi="Times New Roman" w:eastAsia="方正仿宋_GBK" w:cs="Times New Roman"/>
          <w:sz w:val="32"/>
          <w:szCs w:val="32"/>
        </w:rPr>
        <w:t>年   月   日</w:t>
      </w:r>
    </w:p>
    <w:p>
      <w:pPr>
        <w:keepNext w:val="0"/>
        <w:keepLines w:val="0"/>
        <w:pageBreakBefore w:val="0"/>
        <w:widowControl w:val="0"/>
        <w:kinsoku/>
        <w:wordWrap/>
        <w:overflowPunct/>
        <w:topLinePunct w:val="0"/>
        <w:autoSpaceDE/>
        <w:autoSpaceDN/>
        <w:bidi w:val="0"/>
        <w:adjustRightInd/>
        <w:snapToGrid/>
        <w:spacing w:line="590" w:lineRule="exact"/>
        <w:textAlignment w:val="auto"/>
        <w:rPr>
          <w:rFonts w:hint="eastAsia"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附件6</w:t>
      </w:r>
    </w:p>
    <w:p>
      <w:pPr>
        <w:pStyle w:val="2"/>
        <w:rPr>
          <w:rFonts w:hint="default"/>
          <w:lang w:val="en-US" w:eastAsia="zh-CN"/>
        </w:rPr>
      </w:pPr>
    </w:p>
    <w:p>
      <w:pPr>
        <w:keepNext w:val="0"/>
        <w:keepLines w:val="0"/>
        <w:pageBreakBefore w:val="0"/>
        <w:widowControl w:val="0"/>
        <w:kinsoku/>
        <w:wordWrap/>
        <w:overflowPunct/>
        <w:topLinePunct w:val="0"/>
        <w:autoSpaceDE/>
        <w:autoSpaceDN/>
        <w:bidi w:val="0"/>
        <w:adjustRightInd/>
        <w:snapToGrid w:val="0"/>
        <w:spacing w:line="590" w:lineRule="exact"/>
        <w:jc w:val="center"/>
        <w:textAlignment w:val="auto"/>
        <w:outlineLvl w:val="9"/>
        <w:rPr>
          <w:rFonts w:hint="eastAsia" w:ascii="方正小标宋_GBK" w:hAnsi="方正小标宋_GBK" w:eastAsia="方正小标宋_GBK" w:cs="方正小标宋_GBK"/>
          <w:highlight w:val="none"/>
        </w:rPr>
      </w:pPr>
      <w:r>
        <w:rPr>
          <w:rFonts w:hint="eastAsia" w:ascii="方正小标宋_GBK" w:hAnsi="方正小标宋_GBK" w:eastAsia="方正小标宋_GBK" w:cs="方正小标宋_GBK"/>
          <w:sz w:val="44"/>
          <w:szCs w:val="44"/>
          <w:lang w:val="en-US" w:eastAsia="zh-CN"/>
        </w:rPr>
        <w:t>承诺书</w:t>
      </w:r>
    </w:p>
    <w:p>
      <w:pPr>
        <w:pStyle w:val="5"/>
        <w:keepNext w:val="0"/>
        <w:keepLines w:val="0"/>
        <w:pageBreakBefore w:val="0"/>
        <w:wordWrap/>
        <w:overflowPunct/>
        <w:topLinePunct w:val="0"/>
        <w:bidi w:val="0"/>
        <w:spacing w:line="590" w:lineRule="exact"/>
        <w:jc w:val="both"/>
        <w:rPr>
          <w:highlight w:val="none"/>
        </w:rPr>
      </w:pPr>
    </w:p>
    <w:p>
      <w:pPr>
        <w:keepNext w:val="0"/>
        <w:keepLines w:val="0"/>
        <w:pageBreakBefore w:val="0"/>
        <w:widowControl/>
        <w:kinsoku w:val="0"/>
        <w:wordWrap/>
        <w:overflowPunct/>
        <w:topLinePunct w:val="0"/>
        <w:autoSpaceDE w:val="0"/>
        <w:autoSpaceDN w:val="0"/>
        <w:bidi w:val="0"/>
        <w:adjustRightInd w:val="0"/>
        <w:snapToGrid w:val="0"/>
        <w:spacing w:before="100" w:line="590" w:lineRule="exact"/>
        <w:ind w:left="45" w:right="11" w:firstLine="631"/>
        <w:jc w:val="both"/>
        <w:textAlignment w:val="baseline"/>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pacing w:val="8"/>
          <w:sz w:val="32"/>
          <w:szCs w:val="32"/>
          <w:highlight w:val="none"/>
        </w:rPr>
        <w:t>本单位承诺不存在《医疗机构医疗保障定点管理暂行办</w:t>
      </w:r>
      <w:r>
        <w:rPr>
          <w:rFonts w:hint="default" w:ascii="Times New Roman" w:hAnsi="Times New Roman" w:eastAsia="方正仿宋_GBK" w:cs="Times New Roman"/>
          <w:spacing w:val="6"/>
          <w:sz w:val="32"/>
          <w:szCs w:val="32"/>
          <w:highlight w:val="none"/>
        </w:rPr>
        <w:t>法》（国家医疗保障局令第</w:t>
      </w:r>
      <w:r>
        <w:rPr>
          <w:rFonts w:hint="default" w:ascii="Times New Roman" w:hAnsi="Times New Roman" w:eastAsia="方正仿宋_GBK" w:cs="Times New Roman"/>
          <w:spacing w:val="-53"/>
          <w:sz w:val="32"/>
          <w:szCs w:val="32"/>
          <w:highlight w:val="none"/>
        </w:rPr>
        <w:t xml:space="preserve"> </w:t>
      </w:r>
      <w:r>
        <w:rPr>
          <w:rFonts w:hint="default" w:ascii="Times New Roman" w:hAnsi="Times New Roman" w:eastAsia="方正仿宋_GBK" w:cs="Times New Roman"/>
          <w:spacing w:val="6"/>
          <w:sz w:val="32"/>
          <w:szCs w:val="32"/>
          <w:highlight w:val="none"/>
        </w:rPr>
        <w:t>2</w:t>
      </w:r>
      <w:r>
        <w:rPr>
          <w:rFonts w:hint="default" w:ascii="Times New Roman" w:hAnsi="Times New Roman" w:eastAsia="方正仿宋_GBK" w:cs="Times New Roman"/>
          <w:spacing w:val="-41"/>
          <w:sz w:val="32"/>
          <w:szCs w:val="32"/>
          <w:highlight w:val="none"/>
        </w:rPr>
        <w:t xml:space="preserve"> </w:t>
      </w:r>
      <w:r>
        <w:rPr>
          <w:rFonts w:hint="default" w:ascii="Times New Roman" w:hAnsi="Times New Roman" w:eastAsia="方正仿宋_GBK" w:cs="Times New Roman"/>
          <w:spacing w:val="6"/>
          <w:sz w:val="32"/>
          <w:szCs w:val="32"/>
          <w:highlight w:val="none"/>
        </w:rPr>
        <w:t>号）或《零售药</w:t>
      </w:r>
      <w:r>
        <w:rPr>
          <w:rFonts w:hint="default" w:ascii="Times New Roman" w:hAnsi="Times New Roman" w:eastAsia="方正仿宋_GBK" w:cs="Times New Roman"/>
          <w:spacing w:val="5"/>
          <w:sz w:val="32"/>
          <w:szCs w:val="32"/>
          <w:highlight w:val="none"/>
        </w:rPr>
        <w:t>店医疗保障定点管理暂行办法》（国家医疗保障局令第</w:t>
      </w:r>
      <w:r>
        <w:rPr>
          <w:rFonts w:hint="default" w:ascii="Times New Roman" w:hAnsi="Times New Roman" w:eastAsia="方正仿宋_GBK" w:cs="Times New Roman"/>
          <w:spacing w:val="-49"/>
          <w:sz w:val="32"/>
          <w:szCs w:val="32"/>
          <w:highlight w:val="none"/>
        </w:rPr>
        <w:t xml:space="preserve"> </w:t>
      </w:r>
      <w:r>
        <w:rPr>
          <w:rFonts w:hint="default" w:ascii="Times New Roman" w:hAnsi="Times New Roman" w:eastAsia="方正仿宋_GBK" w:cs="Times New Roman"/>
          <w:spacing w:val="5"/>
          <w:sz w:val="32"/>
          <w:szCs w:val="32"/>
          <w:highlight w:val="none"/>
        </w:rPr>
        <w:t>3</w:t>
      </w:r>
      <w:r>
        <w:rPr>
          <w:rFonts w:hint="default" w:ascii="Times New Roman" w:hAnsi="Times New Roman" w:eastAsia="方正仿宋_GBK" w:cs="Times New Roman"/>
          <w:spacing w:val="-41"/>
          <w:sz w:val="32"/>
          <w:szCs w:val="32"/>
          <w:highlight w:val="none"/>
        </w:rPr>
        <w:t xml:space="preserve"> </w:t>
      </w:r>
      <w:r>
        <w:rPr>
          <w:rFonts w:hint="default" w:ascii="Times New Roman" w:hAnsi="Times New Roman" w:eastAsia="方正仿宋_GBK" w:cs="Times New Roman"/>
          <w:spacing w:val="5"/>
          <w:sz w:val="32"/>
          <w:szCs w:val="32"/>
          <w:highlight w:val="none"/>
        </w:rPr>
        <w:t>号）</w:t>
      </w:r>
      <w:r>
        <w:rPr>
          <w:rFonts w:hint="default" w:ascii="Times New Roman" w:hAnsi="Times New Roman" w:eastAsia="方正仿宋_GBK" w:cs="Times New Roman"/>
          <w:b/>
          <w:bCs/>
          <w:spacing w:val="5"/>
          <w:sz w:val="32"/>
          <w:szCs w:val="32"/>
          <w:highlight w:val="none"/>
        </w:rPr>
        <w:t>所列的不予</w:t>
      </w:r>
      <w:r>
        <w:rPr>
          <w:rFonts w:hint="default" w:ascii="Times New Roman" w:hAnsi="Times New Roman" w:eastAsia="方正仿宋_GBK" w:cs="Times New Roman"/>
          <w:b/>
          <w:bCs/>
          <w:spacing w:val="7"/>
          <w:sz w:val="32"/>
          <w:szCs w:val="32"/>
          <w:highlight w:val="none"/>
        </w:rPr>
        <w:t>受理定点申请的情形，</w:t>
      </w:r>
      <w:r>
        <w:rPr>
          <w:rFonts w:hint="default" w:ascii="Times New Roman" w:hAnsi="Times New Roman" w:eastAsia="方正仿宋_GBK" w:cs="Times New Roman"/>
          <w:spacing w:val="7"/>
          <w:sz w:val="32"/>
          <w:szCs w:val="32"/>
          <w:highlight w:val="none"/>
        </w:rPr>
        <w:t>所提交的定点医药机构申请相关材料真实、合法、有效。如有不实，愿意承担一切责任</w:t>
      </w:r>
      <w:r>
        <w:rPr>
          <w:rFonts w:hint="default" w:ascii="Times New Roman" w:hAnsi="Times New Roman" w:eastAsia="方正仿宋_GBK" w:cs="Times New Roman"/>
          <w:spacing w:val="6"/>
          <w:sz w:val="32"/>
          <w:szCs w:val="32"/>
          <w:highlight w:val="none"/>
        </w:rPr>
        <w:t>、后果。</w:t>
      </w:r>
    </w:p>
    <w:p>
      <w:pPr>
        <w:pStyle w:val="5"/>
        <w:keepNext w:val="0"/>
        <w:keepLines w:val="0"/>
        <w:pageBreakBefore w:val="0"/>
        <w:wordWrap/>
        <w:overflowPunct/>
        <w:topLinePunct w:val="0"/>
        <w:bidi w:val="0"/>
        <w:spacing w:line="590" w:lineRule="exact"/>
        <w:jc w:val="both"/>
        <w:rPr>
          <w:rFonts w:hint="default" w:ascii="Times New Roman" w:hAnsi="Times New Roman" w:eastAsia="方正仿宋_GBK" w:cs="Times New Roman"/>
          <w:sz w:val="32"/>
          <w:szCs w:val="32"/>
          <w:highlight w:val="none"/>
        </w:rPr>
      </w:pPr>
    </w:p>
    <w:p>
      <w:pPr>
        <w:pStyle w:val="5"/>
        <w:keepNext w:val="0"/>
        <w:keepLines w:val="0"/>
        <w:pageBreakBefore w:val="0"/>
        <w:wordWrap/>
        <w:overflowPunct/>
        <w:topLinePunct w:val="0"/>
        <w:bidi w:val="0"/>
        <w:spacing w:line="590" w:lineRule="exact"/>
        <w:jc w:val="both"/>
        <w:rPr>
          <w:rFonts w:hint="default" w:ascii="Times New Roman" w:hAnsi="Times New Roman" w:eastAsia="方正仿宋_GBK" w:cs="Times New Roman"/>
          <w:sz w:val="32"/>
          <w:szCs w:val="32"/>
          <w:highlight w:val="none"/>
        </w:rPr>
      </w:pPr>
    </w:p>
    <w:p>
      <w:pPr>
        <w:pStyle w:val="5"/>
        <w:keepNext w:val="0"/>
        <w:keepLines w:val="0"/>
        <w:pageBreakBefore w:val="0"/>
        <w:wordWrap/>
        <w:overflowPunct/>
        <w:topLinePunct w:val="0"/>
        <w:bidi w:val="0"/>
        <w:spacing w:line="590" w:lineRule="exact"/>
        <w:jc w:val="both"/>
        <w:rPr>
          <w:rFonts w:hint="default" w:ascii="Times New Roman" w:hAnsi="Times New Roman" w:eastAsia="方正仿宋_GBK" w:cs="Times New Roman"/>
          <w:sz w:val="32"/>
          <w:szCs w:val="32"/>
          <w:highlight w:val="none"/>
        </w:rPr>
      </w:pPr>
    </w:p>
    <w:p>
      <w:pPr>
        <w:keepNext w:val="0"/>
        <w:keepLines w:val="0"/>
        <w:pageBreakBefore w:val="0"/>
        <w:wordWrap/>
        <w:overflowPunct/>
        <w:topLinePunct w:val="0"/>
        <w:bidi w:val="0"/>
        <w:spacing w:before="101" w:line="590" w:lineRule="exact"/>
        <w:ind w:left="752"/>
        <w:jc w:val="both"/>
        <w:rPr>
          <w:rFonts w:hint="default" w:ascii="Times New Roman" w:hAnsi="Times New Roman" w:eastAsia="方正仿宋_GBK" w:cs="Times New Roman"/>
          <w:sz w:val="32"/>
          <w:szCs w:val="32"/>
          <w:highlight w:val="none"/>
          <w:lang w:eastAsia="zh-CN"/>
        </w:rPr>
      </w:pPr>
      <w:r>
        <w:rPr>
          <w:rFonts w:hint="default" w:ascii="Times New Roman" w:hAnsi="Times New Roman" w:eastAsia="方正仿宋_GBK" w:cs="Times New Roman"/>
          <w:spacing w:val="4"/>
          <w:sz w:val="32"/>
          <w:szCs w:val="32"/>
          <w:highlight w:val="none"/>
        </w:rPr>
        <w:t>申请单位法定代表人（签章</w:t>
      </w:r>
      <w:r>
        <w:rPr>
          <w:rFonts w:hint="default" w:ascii="Times New Roman" w:hAnsi="Times New Roman" w:eastAsia="方正仿宋_GBK" w:cs="Times New Roman"/>
          <w:spacing w:val="4"/>
          <w:sz w:val="32"/>
          <w:szCs w:val="32"/>
          <w:highlight w:val="none"/>
          <w:lang w:eastAsia="zh-CN"/>
        </w:rPr>
        <w:t>）</w:t>
      </w:r>
    </w:p>
    <w:p>
      <w:pPr>
        <w:keepNext w:val="0"/>
        <w:keepLines w:val="0"/>
        <w:pageBreakBefore w:val="0"/>
        <w:wordWrap/>
        <w:overflowPunct/>
        <w:topLinePunct w:val="0"/>
        <w:bidi w:val="0"/>
        <w:spacing w:before="180" w:line="590" w:lineRule="exact"/>
        <w:ind w:left="5194"/>
        <w:jc w:val="both"/>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pacing w:val="-16"/>
          <w:sz w:val="32"/>
          <w:szCs w:val="32"/>
          <w:highlight w:val="none"/>
        </w:rPr>
        <w:t>年</w:t>
      </w:r>
      <w:r>
        <w:rPr>
          <w:rFonts w:hint="default" w:ascii="Times New Roman" w:hAnsi="Times New Roman" w:eastAsia="方正仿宋_GBK" w:cs="Times New Roman"/>
          <w:spacing w:val="17"/>
          <w:sz w:val="32"/>
          <w:szCs w:val="32"/>
          <w:highlight w:val="none"/>
        </w:rPr>
        <w:t xml:space="preserve">   </w:t>
      </w:r>
      <w:r>
        <w:rPr>
          <w:rFonts w:hint="default" w:ascii="Times New Roman" w:hAnsi="Times New Roman" w:eastAsia="方正仿宋_GBK" w:cs="Times New Roman"/>
          <w:spacing w:val="-16"/>
          <w:sz w:val="32"/>
          <w:szCs w:val="32"/>
          <w:highlight w:val="none"/>
        </w:rPr>
        <w:t>月</w:t>
      </w:r>
      <w:r>
        <w:rPr>
          <w:rFonts w:hint="default" w:ascii="Times New Roman" w:hAnsi="Times New Roman" w:eastAsia="方正仿宋_GBK" w:cs="Times New Roman"/>
          <w:spacing w:val="27"/>
          <w:sz w:val="32"/>
          <w:szCs w:val="32"/>
          <w:highlight w:val="none"/>
        </w:rPr>
        <w:t xml:space="preserve">   </w:t>
      </w:r>
      <w:r>
        <w:rPr>
          <w:rFonts w:hint="default" w:ascii="Times New Roman" w:hAnsi="Times New Roman" w:eastAsia="方正仿宋_GBK" w:cs="Times New Roman"/>
          <w:spacing w:val="-16"/>
          <w:sz w:val="32"/>
          <w:szCs w:val="32"/>
          <w:highlight w:val="none"/>
        </w:rPr>
        <w:t>日</w:t>
      </w:r>
    </w:p>
    <w:p>
      <w:pPr>
        <w:pStyle w:val="5"/>
        <w:keepNext w:val="0"/>
        <w:keepLines w:val="0"/>
        <w:pageBreakBefore w:val="0"/>
        <w:wordWrap/>
        <w:overflowPunct/>
        <w:topLinePunct w:val="0"/>
        <w:bidi w:val="0"/>
        <w:spacing w:line="590" w:lineRule="exact"/>
        <w:jc w:val="both"/>
        <w:rPr>
          <w:rFonts w:hint="default" w:ascii="Times New Roman" w:hAnsi="Times New Roman" w:eastAsia="方正仿宋_GBK" w:cs="Times New Roman"/>
          <w:sz w:val="32"/>
          <w:szCs w:val="32"/>
          <w:highlight w:val="none"/>
        </w:rPr>
      </w:pPr>
    </w:p>
    <w:p>
      <w:pPr>
        <w:pStyle w:val="5"/>
        <w:keepNext w:val="0"/>
        <w:keepLines w:val="0"/>
        <w:pageBreakBefore w:val="0"/>
        <w:wordWrap/>
        <w:overflowPunct/>
        <w:topLinePunct w:val="0"/>
        <w:bidi w:val="0"/>
        <w:spacing w:line="590" w:lineRule="exact"/>
        <w:jc w:val="both"/>
        <w:rPr>
          <w:rFonts w:hint="default" w:ascii="Times New Roman" w:hAnsi="Times New Roman" w:eastAsia="方正仿宋_GBK" w:cs="Times New Roman"/>
          <w:sz w:val="32"/>
          <w:szCs w:val="32"/>
          <w:highlight w:val="none"/>
        </w:rPr>
      </w:pPr>
    </w:p>
    <w:p>
      <w:pPr>
        <w:pStyle w:val="5"/>
        <w:keepNext w:val="0"/>
        <w:keepLines w:val="0"/>
        <w:pageBreakBefore w:val="0"/>
        <w:wordWrap/>
        <w:overflowPunct/>
        <w:topLinePunct w:val="0"/>
        <w:bidi w:val="0"/>
        <w:spacing w:line="590" w:lineRule="exact"/>
        <w:jc w:val="both"/>
        <w:rPr>
          <w:rFonts w:hint="default" w:ascii="Times New Roman" w:hAnsi="Times New Roman" w:eastAsia="方正仿宋_GBK" w:cs="Times New Roman"/>
          <w:sz w:val="32"/>
          <w:szCs w:val="32"/>
          <w:highlight w:val="none"/>
        </w:rPr>
      </w:pPr>
    </w:p>
    <w:p>
      <w:pPr>
        <w:keepNext w:val="0"/>
        <w:keepLines w:val="0"/>
        <w:pageBreakBefore w:val="0"/>
        <w:wordWrap/>
        <w:overflowPunct/>
        <w:topLinePunct w:val="0"/>
        <w:bidi w:val="0"/>
        <w:spacing w:before="101" w:line="590" w:lineRule="exact"/>
        <w:ind w:left="752"/>
        <w:jc w:val="both"/>
        <w:rPr>
          <w:rFonts w:hint="default" w:ascii="Times New Roman" w:hAnsi="Times New Roman" w:eastAsia="方正仿宋_GBK" w:cs="Times New Roman"/>
          <w:sz w:val="32"/>
          <w:szCs w:val="32"/>
          <w:highlight w:val="none"/>
          <w:lang w:eastAsia="zh-CN"/>
        </w:rPr>
      </w:pPr>
      <w:r>
        <w:rPr>
          <w:rFonts w:hint="default" w:ascii="Times New Roman" w:hAnsi="Times New Roman" w:eastAsia="方正仿宋_GBK" w:cs="Times New Roman"/>
          <w:sz w:val="32"/>
          <w:szCs w:val="32"/>
          <w:highlight w:val="none"/>
        </w:rPr>
        <w:t>申请单位（签章</w:t>
      </w:r>
      <w:r>
        <w:rPr>
          <w:rFonts w:hint="default" w:ascii="Times New Roman" w:hAnsi="Times New Roman" w:eastAsia="方正仿宋_GBK" w:cs="Times New Roman"/>
          <w:sz w:val="32"/>
          <w:szCs w:val="32"/>
          <w:highlight w:val="none"/>
          <w:lang w:eastAsia="zh-CN"/>
        </w:rPr>
        <w:t>）</w:t>
      </w:r>
    </w:p>
    <w:p>
      <w:pPr>
        <w:keepNext w:val="0"/>
        <w:keepLines w:val="0"/>
        <w:pageBreakBefore w:val="0"/>
        <w:wordWrap/>
        <w:overflowPunct/>
        <w:topLinePunct w:val="0"/>
        <w:bidi w:val="0"/>
        <w:spacing w:line="590" w:lineRule="exact"/>
        <w:jc w:val="center"/>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pacing w:val="-16"/>
          <w:sz w:val="32"/>
          <w:szCs w:val="32"/>
          <w:highlight w:val="none"/>
          <w:lang w:val="en-US" w:eastAsia="zh-CN"/>
        </w:rPr>
        <w:t xml:space="preserve">                              </w:t>
      </w:r>
      <w:r>
        <w:rPr>
          <w:rFonts w:hint="default" w:ascii="Times New Roman" w:hAnsi="Times New Roman" w:eastAsia="方正仿宋_GBK" w:cs="Times New Roman"/>
          <w:spacing w:val="-16"/>
          <w:sz w:val="32"/>
          <w:szCs w:val="32"/>
          <w:highlight w:val="none"/>
        </w:rPr>
        <w:t>年</w:t>
      </w:r>
      <w:r>
        <w:rPr>
          <w:rFonts w:hint="default" w:ascii="Times New Roman" w:hAnsi="Times New Roman" w:eastAsia="方正仿宋_GBK" w:cs="Times New Roman"/>
          <w:spacing w:val="17"/>
          <w:sz w:val="32"/>
          <w:szCs w:val="32"/>
          <w:highlight w:val="none"/>
        </w:rPr>
        <w:t xml:space="preserve">   </w:t>
      </w:r>
      <w:r>
        <w:rPr>
          <w:rFonts w:hint="default" w:ascii="Times New Roman" w:hAnsi="Times New Roman" w:eastAsia="方正仿宋_GBK" w:cs="Times New Roman"/>
          <w:spacing w:val="-16"/>
          <w:sz w:val="32"/>
          <w:szCs w:val="32"/>
          <w:highlight w:val="none"/>
        </w:rPr>
        <w:t>月</w:t>
      </w:r>
      <w:r>
        <w:rPr>
          <w:rFonts w:hint="default" w:ascii="Times New Roman" w:hAnsi="Times New Roman" w:eastAsia="方正仿宋_GBK" w:cs="Times New Roman"/>
          <w:spacing w:val="27"/>
          <w:sz w:val="32"/>
          <w:szCs w:val="32"/>
          <w:highlight w:val="none"/>
        </w:rPr>
        <w:t xml:space="preserve">   </w:t>
      </w:r>
      <w:r>
        <w:rPr>
          <w:rFonts w:hint="default" w:ascii="Times New Roman" w:hAnsi="Times New Roman" w:eastAsia="方正仿宋_GBK" w:cs="Times New Roman"/>
          <w:spacing w:val="-16"/>
          <w:sz w:val="32"/>
          <w:szCs w:val="32"/>
          <w:highlight w:val="none"/>
        </w:rPr>
        <w:t>日</w:t>
      </w:r>
    </w:p>
    <w:sectPr>
      <w:headerReference r:id="rId7" w:type="default"/>
      <w:footerReference r:id="rId8" w:type="default"/>
      <w:pgSz w:w="11906" w:h="16838"/>
      <w:pgMar w:top="1962" w:right="1359" w:bottom="1848" w:left="1587" w:header="850" w:footer="680" w:gutter="0"/>
      <w:pgNumType w:fmt="numberInDash"/>
      <w:cols w:space="0" w:num="1"/>
      <w:rtlGutter w:val="0"/>
      <w:docGrid w:type="lines" w:linePitch="44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swiss"/>
    <w:pitch w:val="default"/>
    <w:sig w:usb0="E0002AFF" w:usb1="C0007841"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魏碑_GBK">
    <w:panose1 w:val="02000000000000000000"/>
    <w:charset w:val="86"/>
    <w:family w:val="auto"/>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7296" w:leftChars="2280" w:firstLine="6400" w:firstLineChars="2000"/>
      <w:rPr>
        <w:rFonts w:eastAsia="仿宋"/>
        <w:sz w:val="32"/>
        <w:szCs w:val="48"/>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WAAAA&#10;ZHJzL1BLAQIUABQAAAAIAIdO4kCzSVju0AAAAAUBAAAPAAAAAAAAAAEAIAAAADgAAABkcnMvZG93&#10;bnJldi54bWxQSwECFAAUAAAACACHTuJActDybSsCAABVBAAADgAAAAAAAAABACAAAAA1AQAAZHJz&#10;L2Uyb0RvYy54bWxQSwUGAAAAAAYABgBZAQAA0gUAAAAA&#10;">
              <v:fill on="f" focussize="0,0"/>
              <v:stroke on="f" weight="0.5pt"/>
              <v:imagedata o:title=""/>
              <o:lock v:ext="edit" aspectratio="f"/>
              <v:textbox inset="0mm,0mm,0mm,0mm" style="mso-fit-shape-to-text:t;">
                <w:txbxContent>
                  <w:p>
                    <w:pPr>
                      <w:pStyle w:val="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rPr>
      <w:t xml:space="preserve">  </w:t>
    </w:r>
  </w:p>
  <w:p>
    <w:pPr>
      <w:pStyle w:val="9"/>
      <w:wordWrap w:val="0"/>
      <w:ind w:left="5773" w:leftChars="1804" w:firstLine="7920" w:firstLineChars="2475"/>
      <w:jc w:val="right"/>
      <w:rPr>
        <w:rFonts w:ascii="宋体" w:hAnsi="宋体" w:eastAsia="宋体" w:cs="宋体"/>
        <w:b/>
        <w:bCs/>
        <w:color w:val="005192"/>
        <w:sz w:val="28"/>
        <w:szCs w:val="44"/>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FgAAAGRycy9Q&#10;SwECFAAUAAAACACHTuJA86el0dQAAAAGAQAADwAAAAAAAAABACAAAAA4AAAAZHJzL2Rvd25yZXYu&#10;eG1sUEsBAhQAFAAAAAgAh07iQPA2LSnpAQAAtQMAAA4AAAAAAAAAAQAgAAAAOQEAAGRycy9lMm9E&#10;b2MueG1sUEsFBgAAAAAGAAYAWQEAAJQFAAAAAA==&#10;">
              <v:fill on="f" focussize="0,0"/>
              <v:stroke weight="1.75pt" color="#005192 [3204]" miterlimit="8" joinstyle="miter"/>
              <v:imagedata o:title=""/>
              <o:lock v:ext="edit" aspectratio="f"/>
            </v:line>
          </w:pict>
        </mc:Fallback>
      </mc:AlternateContent>
    </w:r>
    <w:r>
      <w:rPr>
        <w:rFonts w:hint="eastAsia" w:eastAsia="仿宋"/>
        <w:color w:val="FAFAFA"/>
        <w:sz w:val="32"/>
        <w:szCs w:val="48"/>
      </w:rPr>
      <w:t>X</w:t>
    </w:r>
    <w:r>
      <w:rPr>
        <w:rFonts w:hint="eastAsia" w:ascii="宋体" w:hAnsi="宋体" w:eastAsia="宋体" w:cs="宋体"/>
        <w:b/>
        <w:bCs/>
        <w:color w:val="005192"/>
        <w:sz w:val="28"/>
        <w:szCs w:val="44"/>
      </w:rPr>
      <w:t>芜湖市</w:t>
    </w:r>
    <w:r>
      <w:rPr>
        <w:rFonts w:hint="eastAsia" w:ascii="宋体" w:hAnsi="宋体" w:eastAsia="宋体" w:cs="宋体"/>
        <w:b/>
        <w:bCs/>
        <w:color w:val="005192"/>
        <w:sz w:val="28"/>
        <w:szCs w:val="44"/>
        <w:lang w:eastAsia="zh-CN"/>
      </w:rPr>
      <w:t>医疗保障局</w:t>
    </w:r>
    <w:r>
      <w:rPr>
        <w:rFonts w:hint="eastAsia" w:ascii="宋体" w:hAnsi="宋体" w:eastAsia="宋体" w:cs="宋体"/>
        <w:b/>
        <w:bCs/>
        <w:color w:val="005192"/>
        <w:sz w:val="28"/>
        <w:szCs w:val="44"/>
      </w:rPr>
      <w:t xml:space="preserve">发布     </w:t>
    </w:r>
  </w:p>
  <w:p>
    <w:pPr>
      <w:pStyle w:val="9"/>
      <w:tabs>
        <w:tab w:val="left" w:pos="7360"/>
      </w:tabs>
      <w:wordWrap w:val="0"/>
      <w:ind w:left="7296" w:leftChars="2280" w:firstLine="5621" w:firstLineChars="2000"/>
      <w:jc w:val="right"/>
      <w:rPr>
        <w:rFonts w:ascii="宋体" w:hAnsi="宋体" w:eastAsia="宋体" w:cs="宋体"/>
        <w:b/>
        <w:bCs/>
        <w:color w:val="005192"/>
        <w:sz w:val="28"/>
        <w:szCs w:val="4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tabs>
        <w:tab w:val="left" w:pos="6834"/>
      </w:tabs>
      <w:ind w:left="7296" w:leftChars="2280" w:firstLine="6400" w:firstLineChars="2000"/>
      <w:rPr>
        <w:rFonts w:eastAsia="仿宋"/>
        <w:sz w:val="32"/>
        <w:szCs w:val="48"/>
      </w:rPr>
    </w:pPr>
    <w:r>
      <w:rPr>
        <w:sz w:val="32"/>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BYAAABk&#10;cnMvUEsBAhQAFAAAAAgAh07iQLNJWO7QAAAABQEAAA8AAAAAAAAAAQAgAAAAOAAAAGRycy9kb3du&#10;cmV2LnhtbFBLAQIUABQAAAAIAIdO4kCM1w58KgIAAFUEAAAOAAAAAAAAAAEAIAAAADUBAABkcnMv&#10;ZTJvRG9jLnhtbFBLBQYAAAAABgAGAFkBAADRBQAAAAA=&#10;">
              <v:fill on="f" focussize="0,0"/>
              <v:stroke on="f" weight="0.5pt"/>
              <v:imagedata o:title=""/>
              <o:lock v:ext="edit" aspectratio="f"/>
              <v:textbox inset="0mm,0mm,0mm,0mm" style="mso-fit-shape-to-text:t;">
                <w:txbxContent>
                  <w:p>
                    <w:pPr>
                      <w:pStyle w:val="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eastAsia="zh-CN"/>
      </w:rPr>
      <w:tab/>
    </w:r>
    <w:r>
      <w:rPr>
        <w:rFonts w:hint="eastAsia" w:eastAsia="仿宋"/>
        <w:sz w:val="32"/>
        <w:szCs w:val="48"/>
      </w:rPr>
      <w:t xml:space="preserve">  </w:t>
    </w:r>
  </w:p>
  <w:p>
    <w:pPr>
      <w:pStyle w:val="9"/>
      <w:wordWrap w:val="0"/>
      <w:ind w:left="5773" w:leftChars="1804" w:firstLine="7920" w:firstLineChars="2475"/>
      <w:jc w:val="right"/>
      <w:rPr>
        <w:rFonts w:hint="eastAsia" w:ascii="宋体" w:hAnsi="宋体" w:eastAsia="宋体" w:cs="宋体"/>
        <w:b/>
        <w:bCs/>
        <w:color w:val="005192"/>
        <w:sz w:val="28"/>
        <w:szCs w:val="44"/>
        <w:lang w:eastAsia="zh-CN"/>
      </w:rPr>
    </w:pPr>
    <w:r>
      <w:rPr>
        <w:color w:val="FAFAFA"/>
        <w:sz w:val="32"/>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74295</wp:posOffset>
              </wp:positionV>
              <wp:extent cx="8279765" cy="635"/>
              <wp:effectExtent l="0" t="10795" r="10795" b="11430"/>
              <wp:wrapNone/>
              <wp:docPr id="2" name="直接连接符 2"/>
              <wp:cNvGraphicFramePr/>
              <a:graphic xmlns:a="http://schemas.openxmlformats.org/drawingml/2006/main">
                <a:graphicData uri="http://schemas.microsoft.com/office/word/2010/wordprocessingShape">
                  <wps:wsp>
                    <wps:cNvCnPr/>
                    <wps:spPr>
                      <a:xfrm>
                        <a:off x="0" y="0"/>
                        <a:ext cx="8279765" cy="63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05pt;width:651.95pt;z-index:251662336;mso-width-relative:page;mso-height-relative:page;" filled="f" stroked="t" coordsize="21600,21600" o:gfxdata="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WAAAAZHJzL1BL&#10;AQIUABQAAAAIAIdO4kAvOwMw0wAAAAcBAAAPAAAAAAAAAAEAIAAAADgAAABkcnMvZG93bnJldi54&#10;bWxQSwECFAAUAAAACACHTuJAU0cQuekBAAC0AwAADgAAAAAAAAABACAAAAA4AQAAZHJzL2Uyb0Rv&#10;Yy54bWxQSwUGAAAAAAYABgBZAQAAkwUAAAAA&#10;">
              <v:fill on="f" focussize="0,0"/>
              <v:stroke weight="1.75pt" color="#005192 [3204]" miterlimit="8" joinstyle="miter"/>
              <v:imagedata o:title=""/>
              <o:lock v:ext="edit" aspectratio="f"/>
            </v:line>
          </w:pict>
        </mc:Fallback>
      </mc:AlternateContent>
    </w:r>
    <w:r>
      <w:rPr>
        <w:rFonts w:hint="eastAsia" w:eastAsia="仿宋"/>
        <w:color w:val="FAFAFA"/>
        <w:sz w:val="32"/>
        <w:szCs w:val="48"/>
      </w:rPr>
      <w:t>X</w:t>
    </w:r>
    <w:r>
      <w:rPr>
        <w:rFonts w:hint="eastAsia" w:ascii="宋体" w:hAnsi="宋体" w:eastAsia="宋体" w:cs="宋体"/>
        <w:b/>
        <w:bCs/>
        <w:color w:val="005192"/>
        <w:sz w:val="28"/>
        <w:szCs w:val="44"/>
      </w:rPr>
      <w:t>芜湖市</w:t>
    </w:r>
    <w:r>
      <w:rPr>
        <w:rFonts w:hint="eastAsia" w:ascii="宋体" w:hAnsi="宋体" w:eastAsia="宋体" w:cs="宋体"/>
        <w:b/>
        <w:bCs/>
        <w:color w:val="005192"/>
        <w:sz w:val="28"/>
        <w:szCs w:val="44"/>
        <w:lang w:eastAsia="zh-CN"/>
      </w:rPr>
      <w:t>医疗保障局</w:t>
    </w:r>
    <w:r>
      <w:rPr>
        <w:rFonts w:hint="eastAsia" w:ascii="宋体" w:hAnsi="宋体" w:eastAsia="宋体" w:cs="宋体"/>
        <w:b/>
        <w:bCs/>
        <w:color w:val="005192"/>
        <w:sz w:val="28"/>
        <w:szCs w:val="44"/>
      </w:rPr>
      <w:t>发布</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tabs>
        <w:tab w:val="left" w:pos="6834"/>
      </w:tabs>
      <w:ind w:left="7296" w:leftChars="2280" w:firstLine="6400" w:firstLineChars="2000"/>
      <w:rPr>
        <w:rFonts w:eastAsia="仿宋"/>
        <w:sz w:val="32"/>
        <w:szCs w:val="48"/>
      </w:rPr>
    </w:pPr>
    <w:r>
      <w:rPr>
        <w:sz w:val="32"/>
      </w:rPr>
      <mc:AlternateContent>
        <mc:Choice Requires="wps">
          <w:drawing>
            <wp:anchor distT="0" distB="0" distL="114300" distR="114300" simplePos="0" relativeHeight="25166745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745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FgAA&#10;AGRycy9QSwECFAAUAAAACACHTuJAs0lY7tAAAAAFAQAADwAAAAAAAAABACAAAAA4AAAAZHJzL2Rv&#10;d25yZXYueG1sUEsBAhQAFAAAAAgAh07iQIOguJYsAgAAVwQAAA4AAAAAAAAAAQAgAAAANQEAAGRy&#10;cy9lMm9Eb2MueG1sUEsFBgAAAAAGAAYAWQEAANMFAAAAAA==&#10;">
              <v:fill on="f" focussize="0,0"/>
              <v:stroke on="f" weight="0.5pt"/>
              <v:imagedata o:title=""/>
              <o:lock v:ext="edit" aspectratio="f"/>
              <v:textbox inset="0mm,0mm,0mm,0mm" style="mso-fit-shape-to-text:t;">
                <w:txbxContent>
                  <w:p>
                    <w:pPr>
                      <w:pStyle w:val="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eastAsia="zh-CN"/>
      </w:rPr>
      <w:tab/>
    </w:r>
    <w:r>
      <w:rPr>
        <w:rFonts w:hint="eastAsia" w:eastAsia="仿宋"/>
        <w:sz w:val="32"/>
        <w:szCs w:val="48"/>
      </w:rPr>
      <w:t xml:space="preserve">  </w:t>
    </w:r>
  </w:p>
  <w:p>
    <w:pPr>
      <w:pStyle w:val="9"/>
      <w:wordWrap w:val="0"/>
      <w:ind w:left="5773" w:leftChars="1804" w:firstLine="7920" w:firstLineChars="2475"/>
      <w:jc w:val="right"/>
      <w:rPr>
        <w:rFonts w:hint="eastAsia" w:ascii="宋体" w:hAnsi="宋体" w:eastAsia="宋体" w:cs="宋体"/>
        <w:b/>
        <w:bCs/>
        <w:color w:val="005192"/>
        <w:sz w:val="28"/>
        <w:szCs w:val="44"/>
        <w:lang w:eastAsia="zh-CN"/>
      </w:rPr>
    </w:pPr>
    <w:r>
      <w:rPr>
        <w:color w:val="FAFAFA"/>
        <w:sz w:val="32"/>
      </w:rPr>
      <mc:AlternateContent>
        <mc:Choice Requires="wps">
          <w:drawing>
            <wp:anchor distT="0" distB="0" distL="114300" distR="114300" simplePos="0" relativeHeight="251666432" behindDoc="0" locked="0" layoutInCell="1" allowOverlap="1">
              <wp:simplePos x="0" y="0"/>
              <wp:positionH relativeFrom="column">
                <wp:posOffset>0</wp:posOffset>
              </wp:positionH>
              <wp:positionV relativeFrom="paragraph">
                <wp:posOffset>74295</wp:posOffset>
              </wp:positionV>
              <wp:extent cx="5687695" cy="635"/>
              <wp:effectExtent l="0" t="10795" r="12065" b="11430"/>
              <wp:wrapNone/>
              <wp:docPr id="16" name="直接连接符 16"/>
              <wp:cNvGraphicFramePr/>
              <a:graphic xmlns:a="http://schemas.openxmlformats.org/drawingml/2006/main">
                <a:graphicData uri="http://schemas.microsoft.com/office/word/2010/wordprocessingShape">
                  <wps:wsp>
                    <wps:cNvCnPr/>
                    <wps:spPr>
                      <a:xfrm>
                        <a:off x="0" y="0"/>
                        <a:ext cx="5687695" cy="63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05pt;width:447.85pt;z-index:251666432;mso-width-relative:page;mso-height-relative:page;" filled="f" stroked="t" coordsize="21600,21600" o:gfxdata="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FgAAAGRycy9Q&#10;SwECFAAUAAAACACHTuJAB+UHyNMAAAAGAQAADwAAAAAAAAABACAAAAA4AAAAZHJzL2Rvd25yZXYu&#10;eG1sUEsBAhQAFAAAAAgAh07iQP5TqJbqAQAAtgMAAA4AAAAAAAAAAQAgAAAAOAEAAGRycy9lMm9E&#10;b2MueG1sUEsFBgAAAAAGAAYAWQEAAJQFAAAAAA==&#10;">
              <v:fill on="f" focussize="0,0"/>
              <v:stroke weight="1.75pt" color="#005192 [3204]" miterlimit="8" joinstyle="miter"/>
              <v:imagedata o:title=""/>
              <o:lock v:ext="edit" aspectratio="f"/>
            </v:line>
          </w:pict>
        </mc:Fallback>
      </mc:AlternateContent>
    </w:r>
    <w:r>
      <w:rPr>
        <w:rFonts w:hint="eastAsia" w:eastAsia="仿宋"/>
        <w:color w:val="FAFAFA"/>
        <w:sz w:val="32"/>
        <w:szCs w:val="48"/>
      </w:rPr>
      <w:t>X</w:t>
    </w:r>
    <w:r>
      <w:rPr>
        <w:rFonts w:hint="eastAsia" w:ascii="宋体" w:hAnsi="宋体" w:eastAsia="宋体" w:cs="宋体"/>
        <w:b/>
        <w:bCs/>
        <w:color w:val="005192"/>
        <w:sz w:val="28"/>
        <w:szCs w:val="44"/>
      </w:rPr>
      <w:t>芜湖市</w:t>
    </w:r>
    <w:r>
      <w:rPr>
        <w:rFonts w:hint="eastAsia" w:ascii="宋体" w:hAnsi="宋体" w:eastAsia="宋体" w:cs="宋体"/>
        <w:b/>
        <w:bCs/>
        <w:color w:val="005192"/>
        <w:sz w:val="28"/>
        <w:szCs w:val="44"/>
        <w:lang w:eastAsia="zh-CN"/>
      </w:rPr>
      <w:t>医疗保障局</w:t>
    </w:r>
    <w:r>
      <w:rPr>
        <w:rFonts w:hint="eastAsia" w:ascii="宋体" w:hAnsi="宋体" w:eastAsia="宋体" w:cs="宋体"/>
        <w:b/>
        <w:bCs/>
        <w:color w:val="005192"/>
        <w:sz w:val="28"/>
        <w:szCs w:val="44"/>
      </w:rPr>
      <w:t>发布</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tabs>
        <w:tab w:val="left" w:pos="8289"/>
        <w:tab w:val="clear" w:pos="4153"/>
      </w:tabs>
      <w:textAlignment w:val="center"/>
      <w:rPr>
        <w:rFonts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15940" cy="0"/>
              <wp:effectExtent l="0" t="10795" r="7620" b="12065"/>
              <wp:wrapNone/>
              <wp:docPr id="4" name="直接连接符 4"/>
              <wp:cNvGraphicFramePr/>
              <a:graphic xmlns:a="http://schemas.openxmlformats.org/drawingml/2006/main">
                <a:graphicData uri="http://schemas.microsoft.com/office/word/2010/wordprocessingShape">
                  <wps:wsp>
                    <wps:cNvCnPr/>
                    <wps:spPr>
                      <a:xfrm>
                        <a:off x="4133850" y="864870"/>
                        <a:ext cx="5615940"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2pt;z-index:251659264;mso-width-relative:page;mso-height-relative:page;" filled="f" stroked="t" coordsize="21600,21600" o:gfxdata="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WAAAAZHJzL1BLAQIUABQAAAAIAIdO4kDor+su1AAAAAkBAAAPAAAAAAAAAAEAIAAAADgAAABk&#10;cnMvZG93bnJldi54bWxQSwECFAAUAAAACACHTuJAgleG4vQBAAC9AwAADgAAAAAAAAABACAAAAA5&#10;AQAAZHJzL2Uyb0RvYy54bWxQSwUGAAAAAAYABgBZAQAAnwUAAAAA&#10;">
              <v:fill on="f" focussize="0,0"/>
              <v:stroke weight="1.75pt" color="#005192 [3204]" miterlimit="8" joinstyle="miter"/>
              <v:imagedata o:title=""/>
              <o:lock v:ext="edit" aspectratio="f"/>
            </v:line>
          </w:pict>
        </mc:Fallback>
      </mc:AlternateContent>
    </w:r>
    <w:r>
      <w:rPr>
        <w:rFonts w:hint="eastAsia" w:ascii="宋体" w:hAnsi="宋体" w:cs="宋体"/>
        <w:b/>
        <w:bCs/>
        <w:color w:val="005192"/>
        <w:sz w:val="32"/>
        <w:lang w:eastAsia="zh-CN"/>
      </w:rPr>
      <w:tab/>
    </w:r>
  </w:p>
  <w:p>
    <w:pPr>
      <w:pStyle w:val="9"/>
      <w:textAlignment w:val="center"/>
      <w:rPr>
        <w:rFonts w:hint="default"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rPr>
      <w:t>芜湖市</w:t>
    </w:r>
    <w:r>
      <w:rPr>
        <w:rFonts w:hint="eastAsia" w:ascii="宋体" w:hAnsi="宋体" w:eastAsia="宋体" w:cs="宋体"/>
        <w:b/>
        <w:bCs/>
        <w:color w:val="005192"/>
        <w:sz w:val="32"/>
        <w:szCs w:val="32"/>
        <w:lang w:eastAsia="zh-CN"/>
      </w:rPr>
      <w:t>医疗保障局</w:t>
    </w:r>
    <w:r>
      <w:rPr>
        <w:rFonts w:hint="eastAsia" w:ascii="宋体" w:hAnsi="宋体" w:eastAsia="宋体" w:cs="宋体"/>
        <w:b/>
        <w:bCs/>
        <w:color w:val="005192"/>
        <w:sz w:val="32"/>
        <w:szCs w:val="32"/>
        <w:lang w:val="en-US" w:eastAsia="zh-CN"/>
      </w:rPr>
      <w:t>行政规范性文件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tabs>
        <w:tab w:val="left" w:pos="8289"/>
        <w:tab w:val="clear" w:pos="4153"/>
      </w:tabs>
      <w:textAlignment w:val="center"/>
      <w:rPr>
        <w:rFonts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64384" behindDoc="0" locked="0" layoutInCell="1" allowOverlap="1">
              <wp:simplePos x="0" y="0"/>
              <wp:positionH relativeFrom="column">
                <wp:posOffset>-3810</wp:posOffset>
              </wp:positionH>
              <wp:positionV relativeFrom="paragraph">
                <wp:posOffset>690245</wp:posOffset>
              </wp:positionV>
              <wp:extent cx="8279765" cy="0"/>
              <wp:effectExtent l="0" t="10795" r="10795" b="12065"/>
              <wp:wrapNone/>
              <wp:docPr id="9" name="直接连接符 9"/>
              <wp:cNvGraphicFramePr/>
              <a:graphic xmlns:a="http://schemas.openxmlformats.org/drawingml/2006/main">
                <a:graphicData uri="http://schemas.microsoft.com/office/word/2010/wordprocessingShape">
                  <wps:wsp>
                    <wps:cNvCnPr/>
                    <wps:spPr>
                      <a:xfrm>
                        <a:off x="4133850" y="864870"/>
                        <a:ext cx="827976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651.95pt;z-index:251664384;mso-width-relative:page;mso-height-relative:page;" filled="f" stroked="t" coordsize="21600,21600" o:gfxdata="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FgAAAGRycy9QSwECFAAUAAAACACHTuJAZg6dd9UAAAAKAQAADwAAAAAAAAABACAAAAA4AAAA&#10;ZHJzL2Rvd25yZXYueG1sUEsBAhQAFAAAAAgAh07iQNM1QWL0AQAAvQMAAA4AAAAAAAAAAQAgAAAA&#10;OgEAAGRycy9lMm9Eb2MueG1sUEsFBgAAAAAGAAYAWQEAAKAFAAAAAA==&#10;">
              <v:fill on="f" focussize="0,0"/>
              <v:stroke weight="1.75pt" color="#005192 [3204]" miterlimit="8" joinstyle="miter"/>
              <v:imagedata o:title=""/>
              <o:lock v:ext="edit" aspectratio="f"/>
            </v:line>
          </w:pict>
        </mc:Fallback>
      </mc:AlternateContent>
    </w:r>
    <w:r>
      <w:rPr>
        <w:rFonts w:hint="eastAsia" w:ascii="宋体" w:hAnsi="宋体" w:cs="宋体"/>
        <w:b/>
        <w:bCs/>
        <w:color w:val="005192"/>
        <w:sz w:val="32"/>
        <w:lang w:eastAsia="zh-CN"/>
      </w:rPr>
      <w:tab/>
    </w:r>
  </w:p>
  <w:p>
    <w:pPr>
      <w:pStyle w:val="9"/>
      <w:textAlignment w:val="center"/>
      <w:rPr>
        <w:rFonts w:hint="default"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10" name="图片 10"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rPr>
      <w:t>芜湖市</w:t>
    </w:r>
    <w:r>
      <w:rPr>
        <w:rFonts w:hint="eastAsia" w:ascii="宋体" w:hAnsi="宋体" w:eastAsia="宋体" w:cs="宋体"/>
        <w:b/>
        <w:bCs/>
        <w:color w:val="005192"/>
        <w:sz w:val="32"/>
        <w:szCs w:val="32"/>
        <w:lang w:eastAsia="zh-CN"/>
      </w:rPr>
      <w:t>医疗保障局</w:t>
    </w:r>
    <w:r>
      <w:rPr>
        <w:rFonts w:hint="eastAsia" w:ascii="宋体" w:hAnsi="宋体" w:eastAsia="宋体" w:cs="宋体"/>
        <w:b/>
        <w:bCs/>
        <w:color w:val="005192"/>
        <w:sz w:val="32"/>
        <w:szCs w:val="32"/>
        <w:lang w:val="en-US" w:eastAsia="zh-CN"/>
      </w:rPr>
      <w:t>行政规范性文件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tabs>
        <w:tab w:val="left" w:pos="8289"/>
        <w:tab w:val="clear" w:pos="4153"/>
      </w:tabs>
      <w:textAlignment w:val="center"/>
      <w:rPr>
        <w:rFonts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65408" behindDoc="0" locked="0" layoutInCell="1" allowOverlap="1">
              <wp:simplePos x="0" y="0"/>
              <wp:positionH relativeFrom="column">
                <wp:posOffset>-3810</wp:posOffset>
              </wp:positionH>
              <wp:positionV relativeFrom="paragraph">
                <wp:posOffset>690245</wp:posOffset>
              </wp:positionV>
              <wp:extent cx="5687695" cy="0"/>
              <wp:effectExtent l="0" t="10795" r="12065" b="12065"/>
              <wp:wrapNone/>
              <wp:docPr id="13" name="直接连接符 13"/>
              <wp:cNvGraphicFramePr/>
              <a:graphic xmlns:a="http://schemas.openxmlformats.org/drawingml/2006/main">
                <a:graphicData uri="http://schemas.microsoft.com/office/word/2010/wordprocessingShape">
                  <wps:wsp>
                    <wps:cNvCnPr/>
                    <wps:spPr>
                      <a:xfrm>
                        <a:off x="4133850" y="864870"/>
                        <a:ext cx="568769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7.85pt;z-index:251665408;mso-width-relative:page;mso-height-relative:page;" filled="f" stroked="t" coordsize="21600,21600" o:gfxdata="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BYAAABkcnMvUEsBAhQAFAAAAAgAh07iQIyJ8I/VAAAACQEAAA8AAAAAAAAAAQAgAAAAOAAA&#10;AGRycy9kb3ducmV2LnhtbFBLAQIUABQAAAAIAIdO4kCqimuO9QEAAL8DAAAOAAAAAAAAAAEAIAAA&#10;ADoBAABkcnMvZTJvRG9jLnhtbFBLBQYAAAAABgAGAFkBAAChBQAAAAA=&#10;">
              <v:fill on="f" focussize="0,0"/>
              <v:stroke weight="1.75pt" color="#005192 [3204]" miterlimit="8" joinstyle="miter"/>
              <v:imagedata o:title=""/>
              <o:lock v:ext="edit" aspectratio="f"/>
            </v:line>
          </w:pict>
        </mc:Fallback>
      </mc:AlternateContent>
    </w:r>
    <w:r>
      <w:rPr>
        <w:rFonts w:hint="eastAsia" w:ascii="宋体" w:hAnsi="宋体" w:cs="宋体"/>
        <w:b/>
        <w:bCs/>
        <w:color w:val="005192"/>
        <w:sz w:val="32"/>
        <w:lang w:eastAsia="zh-CN"/>
      </w:rPr>
      <w:tab/>
    </w:r>
  </w:p>
  <w:p>
    <w:pPr>
      <w:pStyle w:val="9"/>
      <w:textAlignment w:val="center"/>
      <w:rPr>
        <w:rFonts w:hint="default"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14" name="图片 14"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rPr>
      <w:t>芜湖市</w:t>
    </w:r>
    <w:r>
      <w:rPr>
        <w:rFonts w:hint="eastAsia" w:ascii="宋体" w:hAnsi="宋体" w:eastAsia="宋体" w:cs="宋体"/>
        <w:b/>
        <w:bCs/>
        <w:color w:val="005192"/>
        <w:sz w:val="32"/>
        <w:szCs w:val="32"/>
        <w:lang w:eastAsia="zh-CN"/>
      </w:rPr>
      <w:t>医疗保障局</w:t>
    </w:r>
    <w:r>
      <w:rPr>
        <w:rFonts w:hint="eastAsia" w:ascii="宋体" w:hAnsi="宋体" w:eastAsia="宋体" w:cs="宋体"/>
        <w:b/>
        <w:bCs/>
        <w:color w:val="005192"/>
        <w:sz w:val="32"/>
        <w:szCs w:val="32"/>
        <w:lang w:val="en-US" w:eastAsia="zh-CN"/>
      </w:rPr>
      <w:t>行政规范性文件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22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VhZGZmMWYxNWUwNGI5NzVhNGQ1ZmVjNmM1ODE3ZDgifQ=="/>
  </w:docVars>
  <w:rsids>
    <w:rsidRoot w:val="00172A27"/>
    <w:rsid w:val="000B75E5"/>
    <w:rsid w:val="00103799"/>
    <w:rsid w:val="00172A27"/>
    <w:rsid w:val="00197EF1"/>
    <w:rsid w:val="001D5673"/>
    <w:rsid w:val="00370D60"/>
    <w:rsid w:val="003B0BE9"/>
    <w:rsid w:val="003C2C10"/>
    <w:rsid w:val="00496D91"/>
    <w:rsid w:val="00507124"/>
    <w:rsid w:val="00545D8F"/>
    <w:rsid w:val="005D49CE"/>
    <w:rsid w:val="00650E3A"/>
    <w:rsid w:val="00701CB2"/>
    <w:rsid w:val="007740FE"/>
    <w:rsid w:val="007E5B7F"/>
    <w:rsid w:val="00855681"/>
    <w:rsid w:val="00866D1D"/>
    <w:rsid w:val="00886771"/>
    <w:rsid w:val="008A1132"/>
    <w:rsid w:val="00900219"/>
    <w:rsid w:val="00940255"/>
    <w:rsid w:val="009418D6"/>
    <w:rsid w:val="00AD7101"/>
    <w:rsid w:val="00B305BB"/>
    <w:rsid w:val="00B8333C"/>
    <w:rsid w:val="00BE1AF4"/>
    <w:rsid w:val="00C2647D"/>
    <w:rsid w:val="00DA2E23"/>
    <w:rsid w:val="00ED39D9"/>
    <w:rsid w:val="00F1597D"/>
    <w:rsid w:val="00F17DC1"/>
    <w:rsid w:val="019E71BD"/>
    <w:rsid w:val="032B6C3A"/>
    <w:rsid w:val="033E332C"/>
    <w:rsid w:val="04B679C3"/>
    <w:rsid w:val="052B2C5E"/>
    <w:rsid w:val="05900B27"/>
    <w:rsid w:val="07D34838"/>
    <w:rsid w:val="080F63D8"/>
    <w:rsid w:val="087A5962"/>
    <w:rsid w:val="09341458"/>
    <w:rsid w:val="0B0912D7"/>
    <w:rsid w:val="0EE3051E"/>
    <w:rsid w:val="0FAD3BC0"/>
    <w:rsid w:val="104A7615"/>
    <w:rsid w:val="1277193D"/>
    <w:rsid w:val="142A6579"/>
    <w:rsid w:val="152D2DCA"/>
    <w:rsid w:val="153913E2"/>
    <w:rsid w:val="17DB6A12"/>
    <w:rsid w:val="1DD97D69"/>
    <w:rsid w:val="1DEC284C"/>
    <w:rsid w:val="1E6523AC"/>
    <w:rsid w:val="1FFA7124"/>
    <w:rsid w:val="22440422"/>
    <w:rsid w:val="2A5C1C3C"/>
    <w:rsid w:val="2E9C2BDF"/>
    <w:rsid w:val="31A15F24"/>
    <w:rsid w:val="31B72082"/>
    <w:rsid w:val="35DFA6C7"/>
    <w:rsid w:val="395347B5"/>
    <w:rsid w:val="398E534A"/>
    <w:rsid w:val="39A232A0"/>
    <w:rsid w:val="39E745AA"/>
    <w:rsid w:val="3B5A6BBB"/>
    <w:rsid w:val="3EDA13A6"/>
    <w:rsid w:val="3FC610CA"/>
    <w:rsid w:val="3FC82FE6"/>
    <w:rsid w:val="3FF21DD0"/>
    <w:rsid w:val="426C7225"/>
    <w:rsid w:val="42F058B7"/>
    <w:rsid w:val="436109F6"/>
    <w:rsid w:val="441A38D4"/>
    <w:rsid w:val="447A10D3"/>
    <w:rsid w:val="494553A6"/>
    <w:rsid w:val="4A5162EE"/>
    <w:rsid w:val="4B0A0B56"/>
    <w:rsid w:val="4BC77339"/>
    <w:rsid w:val="4C9236C5"/>
    <w:rsid w:val="505C172E"/>
    <w:rsid w:val="52C74409"/>
    <w:rsid w:val="52F46F0B"/>
    <w:rsid w:val="53D8014D"/>
    <w:rsid w:val="5550603F"/>
    <w:rsid w:val="55A56411"/>
    <w:rsid w:val="55E064E0"/>
    <w:rsid w:val="5660369E"/>
    <w:rsid w:val="572C6D10"/>
    <w:rsid w:val="572E5B31"/>
    <w:rsid w:val="5B5FA6AF"/>
    <w:rsid w:val="5BFFF659"/>
    <w:rsid w:val="5DC34279"/>
    <w:rsid w:val="608816D1"/>
    <w:rsid w:val="60EF4E7F"/>
    <w:rsid w:val="632B726B"/>
    <w:rsid w:val="665233C1"/>
    <w:rsid w:val="67750F81"/>
    <w:rsid w:val="697051F4"/>
    <w:rsid w:val="6A791FC5"/>
    <w:rsid w:val="6AD45862"/>
    <w:rsid w:val="6AD9688B"/>
    <w:rsid w:val="6AEE1AB5"/>
    <w:rsid w:val="6C681542"/>
    <w:rsid w:val="6D0E3F22"/>
    <w:rsid w:val="6F2B6B62"/>
    <w:rsid w:val="6F8477EE"/>
    <w:rsid w:val="6FBC5506"/>
    <w:rsid w:val="6FBE002D"/>
    <w:rsid w:val="6FFB610F"/>
    <w:rsid w:val="70D53502"/>
    <w:rsid w:val="737C3597"/>
    <w:rsid w:val="73826795"/>
    <w:rsid w:val="73FEA80F"/>
    <w:rsid w:val="74F1485B"/>
    <w:rsid w:val="769ECE13"/>
    <w:rsid w:val="77BFC9F2"/>
    <w:rsid w:val="77F9C3FB"/>
    <w:rsid w:val="79FE088A"/>
    <w:rsid w:val="7BB7D3DF"/>
    <w:rsid w:val="7BBDD49F"/>
    <w:rsid w:val="7C844D47"/>
    <w:rsid w:val="7C9011D9"/>
    <w:rsid w:val="7D5DD78A"/>
    <w:rsid w:val="7DC651C5"/>
    <w:rsid w:val="7DCF8920"/>
    <w:rsid w:val="7DDD62F1"/>
    <w:rsid w:val="7DF7A2D5"/>
    <w:rsid w:val="7EF9B149"/>
    <w:rsid w:val="7F73F4E5"/>
    <w:rsid w:val="7FCC2834"/>
    <w:rsid w:val="AEFF0F06"/>
    <w:rsid w:val="B7EF95B7"/>
    <w:rsid w:val="D75F3A12"/>
    <w:rsid w:val="DC7F1026"/>
    <w:rsid w:val="DFAF832E"/>
    <w:rsid w:val="DFB61B66"/>
    <w:rsid w:val="DFFF91E8"/>
    <w:rsid w:val="E06DDFEA"/>
    <w:rsid w:val="EF57A851"/>
    <w:rsid w:val="EFF76138"/>
    <w:rsid w:val="EFFE16E0"/>
    <w:rsid w:val="F09B5780"/>
    <w:rsid w:val="F8FF61D6"/>
    <w:rsid w:val="F993D886"/>
    <w:rsid w:val="FDFB0CDC"/>
    <w:rsid w:val="FEBF87C4"/>
    <w:rsid w:val="FFEF57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footer"/>
    <w:basedOn w:val="1"/>
    <w:next w:val="1"/>
    <w:qFormat/>
    <w:uiPriority w:val="0"/>
    <w:pPr>
      <w:tabs>
        <w:tab w:val="center" w:pos="4153"/>
        <w:tab w:val="right" w:pos="8306"/>
      </w:tabs>
      <w:snapToGrid w:val="0"/>
      <w:jc w:val="left"/>
    </w:pPr>
    <w:rPr>
      <w:sz w:val="18"/>
    </w:rPr>
  </w:style>
  <w:style w:type="paragraph" w:styleId="3">
    <w:name w:val="Normal Indent"/>
    <w:basedOn w:val="1"/>
    <w:qFormat/>
    <w:uiPriority w:val="0"/>
    <w:pPr>
      <w:ind w:firstLine="420"/>
    </w:pPr>
    <w:rPr>
      <w:rFonts w:ascii="Times New Roman" w:hAnsi="Times New Roman" w:cs="Times New Roman"/>
      <w:szCs w:val="20"/>
    </w:rPr>
  </w:style>
  <w:style w:type="paragraph" w:styleId="4">
    <w:name w:val="annotation text"/>
    <w:basedOn w:val="1"/>
    <w:qFormat/>
    <w:uiPriority w:val="0"/>
    <w:pPr>
      <w:jc w:val="left"/>
    </w:pPr>
  </w:style>
  <w:style w:type="paragraph" w:styleId="5">
    <w:name w:val="Body Text"/>
    <w:basedOn w:val="1"/>
    <w:semiHidden/>
    <w:qFormat/>
    <w:uiPriority w:val="0"/>
    <w:rPr>
      <w:rFonts w:ascii="Arial" w:hAnsi="Arial" w:eastAsia="Arial" w:cs="Arial"/>
      <w:sz w:val="21"/>
      <w:szCs w:val="21"/>
      <w:lang w:val="en-US" w:eastAsia="en-US" w:bidi="ar-SA"/>
    </w:rPr>
  </w:style>
  <w:style w:type="paragraph" w:styleId="6">
    <w:name w:val="index 4"/>
    <w:basedOn w:val="1"/>
    <w:next w:val="1"/>
    <w:qFormat/>
    <w:uiPriority w:val="0"/>
    <w:pPr>
      <w:ind w:left="600" w:leftChars="600"/>
    </w:pPr>
  </w:style>
  <w:style w:type="paragraph" w:styleId="7">
    <w:name w:val="Plain Text"/>
    <w:basedOn w:val="1"/>
    <w:link w:val="17"/>
    <w:qFormat/>
    <w:uiPriority w:val="0"/>
    <w:rPr>
      <w:rFonts w:ascii="宋体" w:hAnsi="Courier New" w:eastAsia="仿宋_GB2312" w:cs="Courier New"/>
      <w:sz w:val="32"/>
      <w:szCs w:val="21"/>
    </w:rPr>
  </w:style>
  <w:style w:type="paragraph" w:styleId="8">
    <w:name w:val="Body Text Indent 2"/>
    <w:basedOn w:val="1"/>
    <w:next w:val="1"/>
    <w:qFormat/>
    <w:uiPriority w:val="0"/>
    <w:pPr>
      <w:spacing w:after="120" w:line="480" w:lineRule="auto"/>
      <w:ind w:left="420" w:leftChars="200"/>
    </w:p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Body Text 2"/>
    <w:basedOn w:val="1"/>
    <w:unhideWhenUsed/>
    <w:qFormat/>
    <w:uiPriority w:val="99"/>
    <w:pPr>
      <w:spacing w:after="120" w:line="480" w:lineRule="auto"/>
    </w:pPr>
    <w:rPr>
      <w:rFonts w:ascii="Calibri" w:hAnsi="Calibri" w:eastAsia="宋体" w:cs="Times New Roman"/>
    </w:rPr>
  </w:style>
  <w:style w:type="paragraph" w:styleId="11">
    <w:name w:val="Normal (Web)"/>
    <w:basedOn w:val="1"/>
    <w:qFormat/>
    <w:uiPriority w:val="99"/>
    <w:pPr>
      <w:widowControl/>
      <w:spacing w:before="100" w:beforeAutospacing="1" w:after="100" w:afterAutospacing="1"/>
      <w:jc w:val="left"/>
    </w:pPr>
    <w:rPr>
      <w:rFonts w:ascii="宋体" w:hAnsi="宋体" w:eastAsia="宋体" w:cs="宋体"/>
      <w:kern w:val="0"/>
      <w:sz w:val="24"/>
    </w:rPr>
  </w:style>
  <w:style w:type="table" w:styleId="13">
    <w:name w:val="Table Grid"/>
    <w:basedOn w:val="12"/>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page number"/>
    <w:basedOn w:val="14"/>
    <w:qFormat/>
    <w:uiPriority w:val="0"/>
  </w:style>
  <w:style w:type="character" w:styleId="16">
    <w:name w:val="annotation reference"/>
    <w:basedOn w:val="14"/>
    <w:qFormat/>
    <w:uiPriority w:val="0"/>
    <w:rPr>
      <w:sz w:val="21"/>
      <w:szCs w:val="21"/>
    </w:rPr>
  </w:style>
  <w:style w:type="character" w:customStyle="1" w:styleId="17">
    <w:name w:val="纯文本 字符"/>
    <w:basedOn w:val="14"/>
    <w:link w:val="7"/>
    <w:qFormat/>
    <w:uiPriority w:val="0"/>
    <w:rPr>
      <w:rFonts w:ascii="宋体" w:hAnsi="Courier New" w:eastAsia="仿宋_GB2312" w:cs="Courier New"/>
      <w:kern w:val="2"/>
      <w:sz w:val="32"/>
      <w:szCs w:val="21"/>
    </w:rPr>
  </w:style>
  <w:style w:type="paragraph" w:customStyle="1" w:styleId="18">
    <w:name w:val="_Style 9"/>
    <w:basedOn w:val="1"/>
    <w:next w:val="19"/>
    <w:qFormat/>
    <w:uiPriority w:val="99"/>
    <w:pPr>
      <w:ind w:firstLine="420" w:firstLineChars="200"/>
    </w:pPr>
    <w:rPr>
      <w:rFonts w:ascii="Times New Roman" w:hAnsi="Times New Roman" w:eastAsia="宋体" w:cs="Times New Roman"/>
      <w:szCs w:val="21"/>
    </w:rPr>
  </w:style>
  <w:style w:type="paragraph" w:styleId="19">
    <w:name w:val="List Paragraph"/>
    <w:basedOn w:val="1"/>
    <w:qFormat/>
    <w:uiPriority w:val="99"/>
    <w:pPr>
      <w:ind w:firstLine="420" w:firstLineChars="200"/>
    </w:pPr>
  </w:style>
  <w:style w:type="character" w:customStyle="1" w:styleId="20">
    <w:name w:val="font21"/>
    <w:basedOn w:val="14"/>
    <w:qFormat/>
    <w:uiPriority w:val="0"/>
    <w:rPr>
      <w:rFonts w:hint="eastAsia" w:ascii="宋体" w:hAnsi="宋体" w:eastAsia="宋体" w:cs="宋体"/>
      <w:color w:val="000000"/>
      <w:sz w:val="24"/>
      <w:szCs w:val="24"/>
      <w:u w:val="none"/>
    </w:rPr>
  </w:style>
  <w:style w:type="paragraph" w:customStyle="1" w:styleId="21">
    <w:name w:val="Table Text"/>
    <w:basedOn w:val="1"/>
    <w:semiHidden/>
    <w:qFormat/>
    <w:uiPriority w:val="0"/>
    <w:rPr>
      <w:rFonts w:ascii="宋体" w:hAnsi="宋体" w:eastAsia="宋体" w:cs="宋体"/>
      <w:sz w:val="24"/>
      <w:szCs w:val="24"/>
      <w:lang w:val="en-US" w:eastAsia="en-US" w:bidi="ar-SA"/>
    </w:rPr>
  </w:style>
  <w:style w:type="table" w:customStyle="1" w:styleId="22">
    <w:name w:val="Table Normal"/>
    <w:unhideWhenUsed/>
    <w:qFormat/>
    <w:uiPriority w:val="0"/>
    <w:tblPr>
      <w:tblCellMar>
        <w:top w:w="0" w:type="dxa"/>
        <w:left w:w="0" w:type="dxa"/>
        <w:bottom w:w="0" w:type="dxa"/>
        <w:right w:w="0" w:type="dxa"/>
      </w:tblCellMar>
    </w:tblPr>
  </w:style>
  <w:style w:type="character" w:customStyle="1" w:styleId="23">
    <w:name w:val="font81"/>
    <w:basedOn w:val="14"/>
    <w:qFormat/>
    <w:uiPriority w:val="0"/>
    <w:rPr>
      <w:rFonts w:hint="eastAsia" w:ascii="黑体" w:hAnsi="宋体" w:eastAsia="黑体" w:cs="黑体"/>
      <w:color w:val="000000"/>
      <w:sz w:val="28"/>
      <w:szCs w:val="28"/>
      <w:u w:val="none"/>
    </w:rPr>
  </w:style>
  <w:style w:type="character" w:customStyle="1" w:styleId="24">
    <w:name w:val="font11"/>
    <w:basedOn w:val="14"/>
    <w:qFormat/>
    <w:uiPriority w:val="0"/>
    <w:rPr>
      <w:rFonts w:hint="eastAsia" w:ascii="宋体" w:hAnsi="宋体" w:eastAsia="宋体" w:cs="宋体"/>
      <w:color w:val="000000"/>
      <w:sz w:val="19"/>
      <w:szCs w:val="19"/>
      <w:u w:val="none"/>
    </w:rPr>
  </w:style>
  <w:style w:type="character" w:customStyle="1" w:styleId="25">
    <w:name w:val="font101"/>
    <w:basedOn w:val="14"/>
    <w:qFormat/>
    <w:uiPriority w:val="0"/>
    <w:rPr>
      <w:rFonts w:hint="eastAsia" w:ascii="宋体" w:hAnsi="宋体" w:eastAsia="宋体" w:cs="宋体"/>
      <w:b/>
      <w:color w:val="000000"/>
      <w:sz w:val="19"/>
      <w:szCs w:val="19"/>
      <w:u w:val="none"/>
    </w:rPr>
  </w:style>
  <w:style w:type="character" w:customStyle="1" w:styleId="26">
    <w:name w:val="font91"/>
    <w:basedOn w:val="14"/>
    <w:qFormat/>
    <w:uiPriority w:val="0"/>
    <w:rPr>
      <w:rFonts w:hint="eastAsia" w:ascii="仿宋_GB2312" w:eastAsia="仿宋_GB2312" w:cs="仿宋_GB2312"/>
      <w:color w:val="000000"/>
      <w:sz w:val="19"/>
      <w:szCs w:val="19"/>
      <w:u w:val="none"/>
    </w:rPr>
  </w:style>
  <w:style w:type="character" w:customStyle="1" w:styleId="27">
    <w:name w:val="font01"/>
    <w:basedOn w:val="14"/>
    <w:qFormat/>
    <w:uiPriority w:val="0"/>
    <w:rPr>
      <w:rFonts w:hint="default" w:ascii="Times New Roman" w:hAnsi="Times New Roman" w:cs="Times New Roman"/>
      <w:color w:val="000000"/>
      <w:sz w:val="19"/>
      <w:szCs w:val="19"/>
      <w:u w:val="none"/>
    </w:rPr>
  </w:style>
  <w:style w:type="character" w:customStyle="1" w:styleId="28">
    <w:name w:val="font51"/>
    <w:basedOn w:val="14"/>
    <w:qFormat/>
    <w:uiPriority w:val="0"/>
    <w:rPr>
      <w:rFonts w:hint="eastAsia" w:ascii="黑体" w:hAnsi="宋体" w:eastAsia="黑体" w:cs="黑体"/>
      <w:color w:val="000000"/>
      <w:sz w:val="27"/>
      <w:szCs w:val="27"/>
      <w:u w:val="none"/>
    </w:rPr>
  </w:style>
  <w:style w:type="character" w:customStyle="1" w:styleId="29">
    <w:name w:val="font61"/>
    <w:basedOn w:val="14"/>
    <w:qFormat/>
    <w:uiPriority w:val="0"/>
    <w:rPr>
      <w:rFonts w:hint="eastAsia" w:ascii="宋体" w:hAnsi="宋体" w:eastAsia="宋体" w:cs="宋体"/>
      <w:b/>
      <w:color w:val="000000"/>
      <w:sz w:val="19"/>
      <w:szCs w:val="19"/>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38</Pages>
  <Words>13080</Words>
  <Characters>13232</Characters>
  <Lines>30</Lines>
  <Paragraphs>8</Paragraphs>
  <TotalTime>117</TotalTime>
  <ScaleCrop>false</ScaleCrop>
  <LinksUpToDate>false</LinksUpToDate>
  <CharactersWithSpaces>13806</CharactersWithSpaces>
  <Application>WPS Office_11.8.2.1132_F1E327BC-269C-435d-A152-05C5408002CA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2021-12-08T15:33:00Z</dcterms:created>
  <dc:creator>t</dc:creator>
  <cp:lastModifiedBy>陈两岁</cp:lastModifiedBy>
  <cp:lastPrinted>2021-10-30T11:30:00Z</cp:lastPrinted>
  <dcterms:modified xsi:type="dcterms:W3CDTF">2026-06-10T16:05:06Z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2052-11.8.2.1132</vt:lpwstr>
  </property>
  <property fmtid="{D5CDD505-2E9C-101B-9397-08002B2CF9AE}" pid="3" name="ICV">
    <vt:lpwstr>490C2ABB635C433CBB20168B68D2FCB7</vt:lpwstr>
  </property>
  <property fmtid="{D5CDD505-2E9C-101B-9397-08002B2CF9AE}" pid="4" name="KSOTemplateDocerSaveRecord">
    <vt:lpwstr>eyJoZGlkIjoiOWU5ZDE1OTAwNjBhMjc3MGE2ZWFiM2M0ZWRjZTljZTciLCJ1c2VySWQiOiIyOTg0NDIzNzAifQ==</vt:lpwstr>
  </property>
</Properties>
</file>