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关于调整特级护理等部分医疗服务项目</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价格的通知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芜医保〔2025〕</w:t>
      </w:r>
      <w:r>
        <w:rPr>
          <w:rFonts w:hint="eastAsia" w:ascii="Times New Roman" w:hAnsi="Times New Roman" w:eastAsia="方正仿宋_GBK" w:cs="Times New Roman"/>
          <w:color w:val="000000"/>
          <w:sz w:val="32"/>
          <w:szCs w:val="32"/>
          <w:lang w:val="en-US" w:eastAsia="zh-CN"/>
        </w:rPr>
        <w:t>55</w:t>
      </w:r>
      <w:r>
        <w:rPr>
          <w:rFonts w:hint="default" w:ascii="Times New Roman" w:hAnsi="Times New Roman" w:eastAsia="方正仿宋_GBK" w:cs="Times New Roman"/>
          <w:color w:val="000000"/>
          <w:sz w:val="32"/>
          <w:szCs w:val="32"/>
        </w:rPr>
        <w:t>号</w:t>
      </w:r>
    </w:p>
    <w:p>
      <w:pPr>
        <w:pStyle w:val="8"/>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各县市区医保分局、直属分局，局属各事业单位，各公立医疗机构：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根据芜湖市医疗保障局 芜湖市卫生健康委员会 芜湖市财政局 芜湖市市场监督管理局《关于印发芜湖市医疗服务价格动态调整机制的通知》（芜医保〔2024〕24号），按照“总量控制、结构调整”原则，组织公立医疗机构申报部分技术劳务价值高、长期未调整、价格矛盾突出的项目，按照医疗服务价格管理相关规定，经专家论证、风险评估、公开征求意见、集体审议等程序，对特级护理等部分医疗服务项目实施价格动态调整，现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调整特级护理等163项医疗服务项目价格，具体内容见附件。调整后价格为市属三级公立医疗机构最高收费标准，二级和一级公立医疗机构的最高收费标准在此基础上分别下浮10%和15%，支付类型继续按原政策执行。</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各医疗机构要严格执行调整后的医疗服务项目价格，落实好住院费用清单、明码标价等相关规定，规范医疗服务收费行为，自觉接受社会监督。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三、各相关单位按照职责分工做好本通知涉及价格项目医保信息系统数据库更新维护工作。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本通知自2025年11月10日起执行，既往政策规定与本通知不一致的，以本通知为准。如遇国家或省出台新政策，按新政策执行。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附件：调整后特级护理等部分医疗服务项目价格表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芜湖市医疗保障局</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 xml:space="preserve">    </w:t>
      </w: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keepNext w:val="0"/>
        <w:keepLines w:val="0"/>
        <w:widowControl/>
        <w:suppressLineNumbers w:val="0"/>
        <w:jc w:val="both"/>
        <w:rPr>
          <w:rFonts w:hint="eastAsia" w:ascii="仿宋_GB2312" w:hAnsi="仿宋_GB2312" w:eastAsia="仿宋_GB2312" w:cs="仿宋_GB2312"/>
          <w:color w:val="000000"/>
          <w:kern w:val="0"/>
          <w:sz w:val="31"/>
          <w:szCs w:val="31"/>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附件 </w:t>
      </w:r>
      <w:r>
        <w:rPr>
          <w:rFonts w:hint="eastAsia" w:ascii="仿宋_GB2312" w:hAnsi="仿宋_GB2312" w:eastAsia="仿宋_GB2312" w:cs="仿宋_GB2312"/>
          <w:color w:val="000000"/>
          <w:kern w:val="0"/>
          <w:sz w:val="31"/>
          <w:szCs w:val="31"/>
          <w:lang w:val="en-US" w:eastAsia="zh-CN" w:bidi="ar"/>
        </w:rPr>
        <w:t xml:space="preserve">                      </w:t>
      </w:r>
    </w:p>
    <w:p>
      <w:pPr>
        <w:pStyle w:val="2"/>
        <w:keepNext w:val="0"/>
        <w:keepLines w:val="0"/>
        <w:pageBreakBefore w:val="0"/>
        <w:kinsoku/>
        <w:wordWrap/>
        <w:overflowPunct/>
        <w:topLinePunct w:val="0"/>
        <w:autoSpaceDE/>
        <w:autoSpaceDN/>
        <w:bidi w:val="0"/>
        <w:adjustRightInd/>
        <w:snapToGrid/>
        <w:spacing w:after="0" w:line="590" w:lineRule="exact"/>
        <w:ind w:left="0" w:leftChars="0"/>
        <w:jc w:val="center"/>
        <w:textAlignment w:val="auto"/>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jc w:val="center"/>
        <w:textAlignment w:val="auto"/>
        <w:rPr>
          <w:rFonts w:hint="eastAsia"/>
          <w:lang w:val="en-US" w:eastAsia="zh-CN"/>
        </w:rPr>
      </w:pPr>
      <w:r>
        <w:rPr>
          <w:rFonts w:hint="eastAsia" w:ascii="方正小标宋_GBK" w:hAnsi="方正小标宋_GBK" w:eastAsia="方正小标宋_GBK" w:cs="方正小标宋_GBK"/>
          <w:color w:val="auto"/>
          <w:sz w:val="44"/>
          <w:szCs w:val="44"/>
          <w:highlight w:val="none"/>
          <w:lang w:val="en-US" w:eastAsia="zh-CN"/>
        </w:rPr>
        <w:t>调整后特级护理等部分医疗服务项目价格表</w:t>
      </w:r>
      <w:bookmarkStart w:id="0" w:name="_GoBack"/>
      <w:bookmarkEnd w:id="0"/>
    </w:p>
    <w:tbl>
      <w:tblPr>
        <w:tblStyle w:val="12"/>
        <w:tblpPr w:leftFromText="180" w:rightFromText="180" w:vertAnchor="text" w:horzAnchor="page" w:tblpX="325" w:tblpY="606"/>
        <w:tblOverlap w:val="never"/>
        <w:tblW w:w="11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870"/>
        <w:gridCol w:w="915"/>
        <w:gridCol w:w="3390"/>
        <w:gridCol w:w="780"/>
        <w:gridCol w:w="840"/>
        <w:gridCol w:w="960"/>
        <w:gridCol w:w="1465"/>
        <w:gridCol w:w="79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项目编码</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项目名称</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项目内涵</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除外内容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计价单位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价格（元）</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计价说明</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支付分类</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outlineLvl w:val="9"/>
              <w:rPr>
                <w:rFonts w:hint="eastAsia" w:ascii="方正黑体_GBK" w:hAnsi="方正黑体_GBK" w:eastAsia="方正黑体_GBK" w:cs="方正黑体_GBK"/>
                <w:i w:val="0"/>
                <w:iCs w:val="0"/>
                <w:color w:val="auto"/>
                <w:kern w:val="0"/>
                <w:sz w:val="28"/>
                <w:szCs w:val="28"/>
                <w:highlight w:val="none"/>
                <w:u w:val="none"/>
                <w:lang w:val="en-US" w:eastAsia="zh-CN" w:bidi="ar"/>
              </w:rPr>
            </w:pPr>
            <w:r>
              <w:rPr>
                <w:rFonts w:hint="eastAsia" w:ascii="方正黑体_GBK" w:hAnsi="方正黑体_GBK" w:eastAsia="方正黑体_GBK" w:cs="方正黑体_GBK"/>
                <w:i w:val="0"/>
                <w:iCs w:val="0"/>
                <w:color w:val="auto"/>
                <w:kern w:val="0"/>
                <w:sz w:val="28"/>
                <w:szCs w:val="28"/>
                <w:highlight w:val="none"/>
                <w:u w:val="none"/>
                <w:lang w:val="en-US" w:eastAsia="zh-CN" w:bidi="ar"/>
              </w:rPr>
              <w:t>统计分类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11302000020000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重症监护护理</w:t>
            </w:r>
          </w:p>
        </w:tc>
        <w:tc>
          <w:tcPr>
            <w:tcW w:w="41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参考皖医保发〔2025〕2 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小时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1.指在重症监护病房内实施的护理操作，不可与分级护理同时收费，可以与严密隔离护理/保护性隔离护理同时收费，不包含监测项目费用。</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2.转入重症监护病房后按“小时”收取重症监护护理费用，转入普通病房后，当日可按“日”收取分级护理费用。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11301000010000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特级护理</w:t>
            </w:r>
          </w:p>
        </w:tc>
        <w:tc>
          <w:tcPr>
            <w:tcW w:w="4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11301000020000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Ⅰ级护理</w:t>
            </w:r>
          </w:p>
        </w:tc>
        <w:tc>
          <w:tcPr>
            <w:tcW w:w="4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50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11302000060000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新生儿护理</w:t>
            </w:r>
          </w:p>
        </w:tc>
        <w:tc>
          <w:tcPr>
            <w:tcW w:w="4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不与分级护理同时收取。</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11302000070000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早产儿护理</w:t>
            </w:r>
          </w:p>
        </w:tc>
        <w:tc>
          <w:tcPr>
            <w:tcW w:w="41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不与分级护理、重症监护</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护理同时收取。</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ABHB0002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持续膀胱冲洗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评估患者病情，自理程度及有无禁忌症等，核对医嘱及患者信息，解释其目的取得配合，准备冲洗药物及用物，屏风遮挡，取适当体位，戴无菌手套，用输血器连接冲洗液并排气，连接冲洗入口，冲洗出口处接无菌引流袋(或引流瓶)，遵守持续冲洗原则细管冲入粗管冲出，根据引流液颜色调节冲洗速度，观察患者生命体征，冲洗情况，引流液颜色、性质及量并记录，冲洗毕协助患者恢复舒适体位，处理用物，做好健康指导及心理护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38</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230600001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131碘-甲亢治疗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390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230600003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131碘-甲状腺癌转移灶治疗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550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230600017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组织间粒子植入术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包括放射性粒子植入术、化疗药物粒子植入术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放射性粒子、药物粒子、一次性植入针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620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310100016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腰椎穿刺术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含测压、注药；不含化验检查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148</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310300036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泪道冲洗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310300085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电解倒睫</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包括拔倒睫</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310401021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眼震电图</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包括温度试验和自发眼震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310401022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平衡试验</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包括平板或平衡台试验，包括视动试验、旋转试验、甘油试验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评定间隔时间不短于14天。</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310604001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睡眠呼吸监测</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含心电、脑电、肌电、眼动、呼吸监测和血氧饱和度测定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350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310605003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经纤维支镜治疗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含滴药、止血、经纤支镜痰吸引；包括取异物、化疗。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内镜检查后立即进行内镜下治疗，检查按 50%收费。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310607003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婴儿氧舱</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包括纯氧舱</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310607004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急救单独开舱治疗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夜间急救单独开舱治疗加收100元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310607005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舱内抢救</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310702005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临时起搏器安置术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心导管、电极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310702007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永久起搏器安置术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起搏器、心导管、电极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每增加一腔加收300元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310702008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永久起搏器更换术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包括取出术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起搏器、心导管、电极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310702011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起搏器程控功能检查</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含起搏器功能分析与编程</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310702015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经食管心脏调搏术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指超速抑制心动过速治疗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310702020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右心导管检查术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导管、导丝</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血氧测定加收90元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310702022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心包穿刺术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包括引流，含一次性材料、监护等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236</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310800001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骨髓穿刺术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310901008b</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经皮肝穿肿瘤消融术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导管、支架、CT、超声引导费用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1700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310903008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经内镜肠道支架置入术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包括取出术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支架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540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310903011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先天性巨结肠清洁洗肠术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含乙状结肠镜置管，分次灌洗30-120分钟</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310905001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腹腔穿刺术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抽液、注药参照执行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放腹水治疗加收20元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310905003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肝穿刺术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含活检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310905008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膈下脓肿穿刺引流术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包括腹腔脓肿、胆汁穿刺引流；不含超声定位引导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310905010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经皮肝穿胆道引流术(PTCD)</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不含超声定位引导或X线引导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导管、引流管、穿刺针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550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311000025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经输尿管镜输尿管扩张术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630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311000027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经膀胱镜输尿管支架置入术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包括取出术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支架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430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311000028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经输尿管镜支架置入术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包括取出术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支架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311100013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B超引导下前列腺活检术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311201002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外阴活检术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311201018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宫腔粘连分离术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311201051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产后刮宫术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170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311201052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葡萄胎刮宫术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311503005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多参数监护无抽搐电休克治疗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290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311503006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暴露疗法和半暴露疗法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311503009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冲动行为干预治疗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22</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311503010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脑电生物反馈治疗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28</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311503015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感觉统合治疗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311503023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心理咨询</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311503024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心理治疗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320100003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经皮静脉内滤网置入术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包括经皮静脉内滤网取出术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滤网</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2400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320200001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经股动脉置管腹主动脉带簿网支架置入术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包括腹主动脉瘤、假性动脉瘤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支架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3700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320200009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经皮动脉内球囊扩张术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不含脑血管及冠状动脉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导管、导丝、球囊</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320200010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经皮动脉支架置入术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包括肢体动脉、颈动脉、肾动脉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支架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3575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320500004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经皮冠状动脉腔内激光成形术（ELCA）</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含激光消融后球囊扩张或支架植入及术前的靶血管造影</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指引导管、指引导丝、球囊导管、支架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4050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以一支冠脉血管为基价，多支血管每支加收600元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320500014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冠脉内局部放射治疗术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含冠脉造影、同位素放射源及放疗装置的使用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330000000-1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手术使用胸腔镜加收费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台次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420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330000000-2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手术使用腹腔镜加收费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台次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420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颅骨凹陷骨折复位术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含碎骨片清除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经颅眶肿瘤切除术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3570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颅内多发血肿清除术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含同一部位硬膜外、硬膜下、脑内血肿清除术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非同一部位血肿加收500元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颅内血肿清除术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单纯硬膜外、硬膜下、脑内血肿清除术参照执行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经颅内镜加收500元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颅内压监护传感器置放术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颅内硬膜下、硬膜外、脑内、脑室内分别参照执行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监护材料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脑室钻孔伴脑室引流术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消毒铺巾，局部麻醉，颅骨锥颅，置入一次性引流装置，头皮固定。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幕上浅部病变切除术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大脑半球胶质瘤、转移癌、胶质增生、大脑半球凸面脑膜瘤、脑脓肿；不含矢状窦旁脑膜瘤、大脑镰旁脑膜瘤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幕上深部病变切除术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脑室内肿瘤、海绵状血管瘤、胼胝体肿瘤、三室前(突入到第三脑室颅咽管瘤)、后部肿瘤、脑脓肿、矢状窦旁脑膜瘤分别参照执行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5700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桥小脑角肿瘤切除术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包括听神经瘤、三叉神经鞘瘤、胆脂瘤、蛛网膜囊肿分别参照执行；不含面神经吻合术、术中神经电监测</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5700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67</w:t>
            </w:r>
          </w:p>
        </w:tc>
        <w:tc>
          <w:tcPr>
            <w:tcW w:w="87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 脑深部电极置入术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3900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330201036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小脑半球病变切除术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小脑半球胶质瘤、血管网织细胞瘤、转移癌、脑脓肿、自发性出血分别参照执行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4560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脑干肿瘤切除术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中脑、桥脑、延髓、丘脑肿瘤、自发脑干血肿、脑干血管畸形、小脑实性血网分别参照执行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330201038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鞍区占位病变切除术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垂体瘤、鞍区颅咽管瘤、视神经胶质瘤；不含侵袭性垂体瘤、突入到第三脑室颅咽管瘤、鞍结节脑膜瘤、下丘脑胶质瘤分别参照执行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4700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330201040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经口腔入路颅底斜坡肿瘤切除术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包括上颌入路颅底海绵窦侵入肿瘤切除术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5600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330201053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环枕畸形减压术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含骨性结构减压、小脑扁桃体切除、硬膜减张缝合术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330203001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颅内巨大动脉瘤夹闭切除术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基底动脉瘤、大脑后动脉动脉瘤分别参照执行；不含血管重建术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动脉瘤夹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指动脉瘤直径大于2.5CM，多夹除一个动脉瘤加收1000元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330203002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颅内动脉瘤夹闭术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不含基底动脉瘤、大脑后动脉瘤、多发动脉瘤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动脉瘤夹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指动脉瘤直径小于2.5CM，多夹除一个动脉瘤加收800元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330204007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脊髓内病变切除术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髓内肿瘤、髓内血肿清除参照执行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肿瘤长度超过5CM以上的肿瘤加收800元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330204008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脊髓硬膜外病变切除术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硬脊膜外肿瘤、血肿、结核瘤、转移瘤、黄韧带增厚、椎间盘突出分别参照执行；不含硬脊膜下、脊髓内肿瘤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330300007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甲状腺穿刺活检术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注射、抽液分别参照执行；不含B超引导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210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330401001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眼睑肿物切除术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局麻，根据肿物位置和大小，设计手术切口，去除肿物，包扎。</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268</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需植皮时，加收50%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330406010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白内障超声乳化摘除术+人工晶体植入术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铺巾，开睑，置手术贴膜，在手术显微镜下做结膜切口和角巩膜切口，或做透明角膜切口，电凝或压迫止血，前房穿刺，撕晶状体前囊膜，应用超声乳化仪粉碎和吸出晶状体核，应用灌吸头注吸晶状体皮质，植入后房型人工晶状体，注吸黏弹剂，形成前房，电凝或缝合切口，消毒纱布遮盖。</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人工晶体、粘弹剂、乳化专用刀</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玻切加收800元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330407004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视网膜脱离修复术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指冷凝、电凝法，外加压、内加压、环扎术分别参照执行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硅胶植入物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1600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激光法加收200元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330409014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眶内肿物摘除术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包括前路摘除及侧劈开眶术、眶尖部肿物摘除术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侧劈开眶加收100元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330601007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鼻腔异物取出术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成人可黏膜表面麻醉，幼儿可由家长或护士固定患儿同步，难取异物可以全麻，前鼻镜下以鼻腔异物钩或其它器械行鼻腔异物取出术。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单侧</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330604005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复杂牙拔除术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正常位牙齿因解剖变异、死髓或牙体治疗后其脆性增加、局部慢性炎症刺激使牙槽骨发生致密性改变、牙-骨间骨性结合、与上颌窦关系密切、增龄性变化等所致的拔除困难分别参照执行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每牙</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330605001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口腔颌面部小肿物切除术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包括口腔、颌面部良性小肿物</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330605013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颌骨良性病变切除术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上、下颌骨骨髓炎、良性肿瘤、瘤样病变及各类囊肿的切除术(含刮治术)分别参照执行。不含松质骨或骨替代物的植入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特殊材料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330606024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牙槽突裂植骨成形术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牙槽突成形术，口、鼻腔前庭瘘修补术分别参照执行；不含取骨术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特殊植入材料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330701022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喉良性肿瘤切除术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咽肿瘤参照执行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经支撑喉镜加收50元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330703015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小儿鸡胸矫正术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胸骨抬举固定或胸骨翻转缝合松解粘连带，小儿漏斗胸矫正术分别参照执行。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成人鸡胸矫正术参照执行。</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330801003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二尖瓣置换术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保留部分或全部二尖瓣装置分别参照执行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人工瓣膜</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330801004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三尖瓣直视成形术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交界切开、瓣环环缩术分别参照执行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人工瓣膜</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330801008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主动脉瓣直视成形术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正中切口，建立体外循环，经升主动脉切口显露主动脉瓣，行瓣膜成形，关闭切口，心脏复跳，止血，钢丝固定胸骨，留置引流管，关胸。</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牛心包片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330801009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主动脉瓣置换术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正中切口，建立体外循环，经升主动脉切口显露主动脉瓣，切病变瓣膜，行人工瓣膜置换，关闭切口，心脏复跳，止血，钢丝固定胸骨，留置引流管，关胸。</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人工瓣膜、异体动脉瓣</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330801011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肺动脉瓣置换术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正中切口，建立体外循环，经肺动脉切口显露肺动脉瓣，切除病变肺动脉瓣，植入人工瓣，关闭切口，心脏复跳，止血，钢丝固定胸骨，留置引流管，关胸。</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人工瓣膜</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330801017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房间隔缺损修补术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单心房间隔再造术，Ⅰ、Ⅱ孔房缺分别参照执行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330801018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室间隔缺损直视修补术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含缝合法</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330802003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冠状动脉搭桥术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含搭桥血管材料的获取术；包括大隐静脉、左侧桡动脉、左右乳内动脉、胃网膜右动脉、腹壁下动脉等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银夹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每支吻合血管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含1支吻合血管，每增加1支吻合血管加收1000元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330802006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非体外循环冠状动脉搭桥术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一次性特殊牵开器、银夹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每支吻合血管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7900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含1支吻合血管，每增加1支吻合血管加收1700元。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330802020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部分型肺静脉畸形引流矫治术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3700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330802033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主动脉弓置换术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除主动脉瓣以外的胸主动脉分别参照执行。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全弓、次全弓替换加收20%。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330803002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心包剥脱术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各种原因所致心包炎的剥脱与松解分别参照执行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330803005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心包开窗引流术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330803009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心脏良性肿瘤摘除术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心脏各部位的良性肿瘤及囊肿分别参照执行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多发肿瘤加收200元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330803012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左房血栓清除术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正中切口，显露心包，建立体外循环，心脏停跳，切开心脏，取出血栓，关闭切口，心脏复跳，止血，钢丝固定胸骨，留置引流管，关胸。</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3600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330900001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淋巴结穿刺术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指全身各部位体表淋巴结。定位，消毒铺巾，穿刺，抽吸细胞成分，送检，压迫止血。不含病理学检查。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330900013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肢体淋巴管-静脉吻合术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每支吻合血管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331001022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贲门癌切除术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含胃食管弓下吻合术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331002003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近端胃大部切除术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良性胃溃疡，良性胃肿瘤，胃肠道间质瘤，胃的恶性间叶性肿瘤实施的手术。逐层进腹，探查，近端胃大部切除，食管胃吻合重建，止血，经腹壁另戳孔置管固定，清点器具、纱布无误，冲洗腹腔，逐层关腹。不含腹腔淋巴结清扫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331002004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远端胃大部切除术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胃、十二指肠吻合(BillrothI或II式)、胃空肠吻合BillrothⅡ式或胃—空肠Roux-y型吻合分别参照执行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331002005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胃癌根治术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含保留胃近端与十二指肠或空肠吻合；不含联合其他脏器切除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331002006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胃癌扩大根治术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含胃癌根治及联合其他侵及脏器切除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331002011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胃肠穿孔修补术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逐层进腹，探查，穿孔修补，大量盐水腹腔冲洗，经腹壁另戳孔置管引出固定，清点器具、纱布无误，冲洗腹腔，逐层关腹。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1350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331003007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肠切除术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小肠、回盲部结肠部分切除参照执行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331003008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肠粘连松解术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逐层进腹，探查，将广泛肠粘连松解，观察肠血运及有无破损，止血，经腹壁另戳孔置管固定，清点器具、纱布无误，冲洗腹腔，逐层关腹。含粘连分解时肠破裂修补。不含肠异物取出术。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1700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331003011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肠造瘘还纳术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含肠吻合术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331003020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结肠癌根治术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含左、右半横结肠切除、淋巴清扫</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3600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331004012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经腹直肠癌根治术(Dixon手术)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含保留肛门，区域淋巴结清扫；不含子宫、卵巢切除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331004013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直肠癌扩大根治术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含盆腔联合脏器切除；包括拖出式直肠癌根治术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全盆腔切除加收250元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331004018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直肠粘膜环切术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含肛门缩窄术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331004026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肛门成形术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肛门闭锁、肛门失禁、括约肌修复等参照执行；不含肌瓣移植术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331006004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高位胆管癌根治术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含肝部分切除、肝胆管—肠吻合术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331006010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先天性胆总管囊肿切除胆道成形术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胆囊、胆总管囊肿切除、空肠R－Y吻合、空肠间置代胆道、矩形粘膜瓣、人工乳头防反流、胆道引流支架、腹腔引流、胰腺探查分别参照执行；不含胆道测压、胆道造影、肝活检、阑尾切除、其他畸形、美克尔憩室切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331007006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胰十二指肠切除术(Whipple手术)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各种胰管空肠吻合、胃空肠吻合术、胆管肠吻合术、胰体癌或壶腹周围癌根治术分别参照执行；不含脾切除术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331007008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全胰腺切除术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不含血管切除吻合术、脾切除术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331008015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腹膜后肿瘤切除术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不含其它脏器切除术、血管切除吻合术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3600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331101014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肾囊肿切除术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包括去顶术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331103006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根治性膀胱全切除术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含盆腔淋巴结清扫术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钛夹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331103027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经尿道膀胱碎石取石术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包括血块、异物取出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气压弹道、钬激光分别计价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331201006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经尿道前列腺电切术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包括电切、汽化、激光等；包括前列腺热蒸汽消融术。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使用钬激光进行前列腺剜出术加收1200元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331202005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高位隐睾下降固定术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含疝修补术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单侧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331203006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精索静脉曲张高位结扎术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消毒，电刀逐层切开腹壁各层，在腹膜后寻找，分离切断精索静脉，缝合关闭切口。</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单侧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780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分流术加收80元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331204010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阴茎重建成形术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含假体植入术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假体</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331301006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卵巢癌根治术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含全子宫+双附件切除+网膜切除+阑尾切除+肿瘤细胞减灭术(盆、腹腔转移灶切除)+盆腹腔淋巴结清除术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如膀胱或肠管部分切除另计费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331301008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卵巢输卵管切除术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消毒铺巾，开腹，留取腹腔冲洗液，切除单侧卵巢悬韧带、单侧卵巢固有韧带、单侧输卵管系膜，切除单侧卵巢输卵管，缝合各断端止血，关腹。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单侧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331302004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输卵管切除术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包括宫外孕的各类手术(如输卵管开窗术)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331303001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宫颈息肉切除术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包括子宫内膜息肉、宫颈管息肉、阴道残端再生物；包括赘生物切除术。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220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331303010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子宫修补术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消毒铺巾，开腹，找到子宫破裂处，子宫破裂处清创，可吸收线逐层缝合修补，关腹。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331303011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经腹子宫肌瘤剔除术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消毒铺巾，开腹，探查盆腹腔，逐个切除子宫肌瘤，判断是否穿透子宫内膜层，逐层缝合止血，子宫成形，关腹。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使用肌瘤粉碎装置时加收50元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331303017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广泛性子宫切除+盆腹腔淋巴结清除术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指妇科恶性肿瘤手术，切除范围为宫旁3厘米，较次广泛子宫切除范围广，难度大。消毒铺巾，逐层开腹，全面探查后切除双侧卵巢固有韧带、双侧输卵管峡部、双侧子宫圆韧带，打开阔韧带前后页，下推膀胱和直肠，切断双侧子宫动静脉，打开输尿管隧道，打开直肠侧窝与膀胱侧窝，切断双侧子宫主韧带和骶韧带，加切缝合阴道旁组织，切除部分阴道(以上各韧带、血管及阴道均距宫体大于3厘米处切断)，盆腹腔淋巴结清扫，留取腹腔引流管，缝合阴道断端，关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331304003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阴道扩张术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膀胱截石位，臀部铺消毒垫巾，消毒外阴，使用管状膜具行阴道扩张。</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扩张用模具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170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331306006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经宫腔镜粘连分离术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麻醉，膀胱截石位，外阴阴道消毒铺巾，放置窥器，暴露宫颈，宫腔镜检查宫腔及宫颈，明确粘连部位、程度，必要时B超引导监护宫腔镜分离切除粘连组织，酌情放置宫内节育器或防粘连制剂，手术结束。</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331501021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颈椎体次全切除植骨融合术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每节椎骨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331501032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胸腰椎骨折切开复位内固定术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后方入路切口</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每节椎骨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如需从前侧方入路脊髓前外侧减压手术，加收30%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331501048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脊柱侧弯矫正术(后路)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1.需前方入路松解手术者，手术费另加20%；2.取骨、植骨融合，手术费另加20%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331501054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脊柱内固定物取出术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胸壁矫形内固定物取出术参照执行</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331502009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周围神经嵌压松解术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消毒铺巾，气囊止血带止血，切开皮肤，切开卡压神经的结构，或松解神经。不含术中显微镜下操作。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1900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331503016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骨肿瘤切开活检术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四肢、脊柱、骨盆分别参照执行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331505010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桡尺骨干骨折切开复位内固定术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331505013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股骨颈骨折闭合复位内固定术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摆体位，选择适合入路切开，保护周围血管神经组织，保护骨折端血供，不显露骨折端，闭合复位骨折端，一般在透视影像监视下进行，选择相应内固定物进行骨折固定，冲洗伤口，放置引流，缝合伤口。必要时术中X线检查骨折及内固定物位置或进行术中计算机导航。不含术中X线引导、术中导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149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331505016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股骨转子间骨折内固定术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331505022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内、外踝骨折切开复位内固定术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摆体位，选择适合入路切开，保护周围血管神经组织，保护骨折端血供，显露骨折形态，准确复位骨折端，选择相应内固定物进行骨折固定，冲洗伤口，放置引流，逐层缝合伤口。必要时术中X线检查骨折及内固定物位置或进行术中计算机导航。不含术中X线引导、术中导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331505037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骨折内固定装置取出术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克氏针、三叶钉、钢板等各部位内固定装置分别参照执行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331506012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膝关节陈旧性前十字韧带重建术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经膝关节镜加收400元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331506020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膝关节清理术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含直视下滑膜切除、软骨下骨修整、游离体摘除、骨质增生清除。踝、肩、肘、髋、足等关节清理术分别参照执行。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2300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经关节镜加收400元；激光加收10%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331519014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带蒂复合组织瓣成形术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术前设计，消毒铺巾，体位摆放，麻醉后受区准备，切取供区复合组织瓣转移，供区直接关闭或植皮覆盖。不含供区植皮。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每个部位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2900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331521029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屈伸指肌腱吻合术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每根肌腱</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屈伸趾肌腱吻合术参照执行</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331523001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手法牵引复位术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331523002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皮肤牵引术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用粘贴物连接皮肤进行肢体重物牵引。</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331523003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骨骼牵引术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消毒铺巾，将骨圆针穿入骨骼连接牵引弓、牵引架进行牵引。</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44</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331602001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脓肿切开引流术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含体表、软组织感染化脓切开引流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150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160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331603026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自体皮移植术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1%体表面积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360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161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331604002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慢性溃疡修复术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含清创、取皮、植皮；褥疮、下肢慢性溃疡、足底溃疡等分别参照执行</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每个部位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1600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162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331604024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任意皮瓣形成术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包括各种带蒂皮瓣；不含岛状皮瓣</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每个部位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800</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19"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163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KFN70901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耳石复位治疗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让受试者戴上红外摄像眼罩平卧于测试床上，不断变换体位，先行位置试验。依据位置试验的结果确定耳石症的诊断，明确受累半规管的位置和侧别，根据诊断结果进行耳石手法复位，如为垂直半规管良性阵发性位置性眩晕(BPPV)。选用Epley手法复位法、水平半规管BPPV采用翻滚复位法，如多个不同半规管同时受累，则选用综合耳石复位法。治疗中，可能出现恶心呕吐等不同程度迷走神经兴奋症状。复位过程中通过红外成像系统观察眼震情况判断耳石复位情况。</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175</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A</w:t>
            </w:r>
          </w:p>
        </w:tc>
      </w:tr>
    </w:tbl>
    <w:p>
      <w:pPr>
        <w:pStyle w:val="3"/>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9"/>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9"/>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49EF7"/>
    <w:multiLevelType w:val="singleLevel"/>
    <w:tmpl w:val="E7F49E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DF14E9"/>
    <w:rsid w:val="5FEF63C4"/>
    <w:rsid w:val="5FEFFD73"/>
    <w:rsid w:val="608816D1"/>
    <w:rsid w:val="60EF4E7F"/>
    <w:rsid w:val="632B726B"/>
    <w:rsid w:val="665233C1"/>
    <w:rsid w:val="67750F81"/>
    <w:rsid w:val="67FFCE1D"/>
    <w:rsid w:val="6AD45862"/>
    <w:rsid w:val="6AD9688B"/>
    <w:rsid w:val="6AEE1AB5"/>
    <w:rsid w:val="6C681542"/>
    <w:rsid w:val="6CFE7E69"/>
    <w:rsid w:val="6D0E3F22"/>
    <w:rsid w:val="6DAE3E2B"/>
    <w:rsid w:val="6F2B6B62"/>
    <w:rsid w:val="6F8477EE"/>
    <w:rsid w:val="6FB5D51A"/>
    <w:rsid w:val="6FBC5506"/>
    <w:rsid w:val="6FFEFF03"/>
    <w:rsid w:val="6FFF01FF"/>
    <w:rsid w:val="70D53502"/>
    <w:rsid w:val="737C3597"/>
    <w:rsid w:val="73826795"/>
    <w:rsid w:val="73FD4D9A"/>
    <w:rsid w:val="73FF9C48"/>
    <w:rsid w:val="74F1485B"/>
    <w:rsid w:val="76EFA257"/>
    <w:rsid w:val="778DBF97"/>
    <w:rsid w:val="77DF338F"/>
    <w:rsid w:val="7BFABE2F"/>
    <w:rsid w:val="7BFD0721"/>
    <w:rsid w:val="7C844D47"/>
    <w:rsid w:val="7C9011D9"/>
    <w:rsid w:val="7CAF8EB9"/>
    <w:rsid w:val="7CBEC9A0"/>
    <w:rsid w:val="7CDFD004"/>
    <w:rsid w:val="7DB3CE62"/>
    <w:rsid w:val="7DBAEFF6"/>
    <w:rsid w:val="7DC651C5"/>
    <w:rsid w:val="7E6F92FA"/>
    <w:rsid w:val="7EF339BC"/>
    <w:rsid w:val="7EFFA363"/>
    <w:rsid w:val="7F27B9A0"/>
    <w:rsid w:val="7FB7BCC5"/>
    <w:rsid w:val="7FCC2834"/>
    <w:rsid w:val="7FFF2AAD"/>
    <w:rsid w:val="7FFF3D0A"/>
    <w:rsid w:val="7FFF623D"/>
    <w:rsid w:val="8CFBF020"/>
    <w:rsid w:val="8EF7A998"/>
    <w:rsid w:val="93EF650F"/>
    <w:rsid w:val="977ECF8C"/>
    <w:rsid w:val="97FF0B14"/>
    <w:rsid w:val="9BBBC31A"/>
    <w:rsid w:val="9BFF8357"/>
    <w:rsid w:val="9FFD5230"/>
    <w:rsid w:val="ABDD4EDE"/>
    <w:rsid w:val="ABF36FEE"/>
    <w:rsid w:val="AFF7D1AA"/>
    <w:rsid w:val="B1BD887D"/>
    <w:rsid w:val="B9FD8933"/>
    <w:rsid w:val="BE7F80C5"/>
    <w:rsid w:val="BFEF8B8C"/>
    <w:rsid w:val="BFF77C84"/>
    <w:rsid w:val="C5DF61A4"/>
    <w:rsid w:val="CF466094"/>
    <w:rsid w:val="D6B76DA2"/>
    <w:rsid w:val="D87BEDBA"/>
    <w:rsid w:val="DF5B4551"/>
    <w:rsid w:val="DF9B1977"/>
    <w:rsid w:val="DFA4211E"/>
    <w:rsid w:val="DFBFF891"/>
    <w:rsid w:val="E7666AEB"/>
    <w:rsid w:val="E77F6F06"/>
    <w:rsid w:val="EBF3C4F2"/>
    <w:rsid w:val="EDFF38AB"/>
    <w:rsid w:val="EF6B319B"/>
    <w:rsid w:val="EFFD2213"/>
    <w:rsid w:val="F2FF8B91"/>
    <w:rsid w:val="F7330027"/>
    <w:rsid w:val="F73BDBDD"/>
    <w:rsid w:val="F7DC2438"/>
    <w:rsid w:val="FBA768D8"/>
    <w:rsid w:val="FBFBD7B9"/>
    <w:rsid w:val="FDA60DCA"/>
    <w:rsid w:val="FE7F6EB4"/>
    <w:rsid w:val="FF95F1E8"/>
    <w:rsid w:val="FFC7F08A"/>
    <w:rsid w:val="FFCDC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unhideWhenUsed/>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outlineLvl w:val="2"/>
    </w:pPr>
    <w:rPr>
      <w:rFonts w:ascii="黑体" w:hAnsi="黑体" w:eastAsia="黑体" w:cs="黑体"/>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Calibri" w:hAnsi="Calibri" w:eastAsia="宋体" w:cs="Times New Roman"/>
      <w:sz w:val="21"/>
      <w:szCs w:val="22"/>
    </w:rPr>
  </w:style>
  <w:style w:type="paragraph" w:styleId="5">
    <w:name w:val="Normal Indent"/>
    <w:basedOn w:val="1"/>
    <w:qFormat/>
    <w:uiPriority w:val="0"/>
    <w:pPr>
      <w:ind w:firstLine="420"/>
    </w:pPr>
    <w:rPr>
      <w:rFonts w:ascii="Times New Roman" w:hAnsi="Times New Roman" w:cs="Times New Roman"/>
      <w:szCs w:val="20"/>
    </w:rPr>
  </w:style>
  <w:style w:type="paragraph" w:styleId="6">
    <w:name w:val="annotation text"/>
    <w:basedOn w:val="1"/>
    <w:qFormat/>
    <w:uiPriority w:val="0"/>
    <w:pPr>
      <w:jc w:val="left"/>
    </w:pPr>
  </w:style>
  <w:style w:type="paragraph" w:styleId="7">
    <w:name w:val="Plain Text"/>
    <w:basedOn w:val="1"/>
    <w:link w:val="16"/>
    <w:qFormat/>
    <w:uiPriority w:val="0"/>
    <w:rPr>
      <w:rFonts w:ascii="宋体" w:hAnsi="Courier New" w:eastAsia="仿宋_GB2312" w:cs="Courier New"/>
      <w:sz w:val="32"/>
      <w:szCs w:val="21"/>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unhideWhenUsed/>
    <w:qFormat/>
    <w:uiPriority w:val="99"/>
    <w:pPr>
      <w:spacing w:after="120" w:line="480" w:lineRule="auto"/>
    </w:pPr>
    <w:rPr>
      <w:rFonts w:ascii="Calibri" w:hAnsi="Calibri" w:eastAsia="宋体" w:cs="Times New Roman"/>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纯文本 字符"/>
    <w:basedOn w:val="13"/>
    <w:link w:val="7"/>
    <w:qFormat/>
    <w:uiPriority w:val="0"/>
    <w:rPr>
      <w:rFonts w:ascii="宋体" w:hAnsi="Courier New" w:eastAsia="仿宋_GB2312" w:cs="Courier New"/>
      <w:kern w:val="2"/>
      <w:sz w:val="32"/>
      <w:szCs w:val="21"/>
    </w:rPr>
  </w:style>
  <w:style w:type="paragraph" w:customStyle="1" w:styleId="17">
    <w:name w:val="_Style 9"/>
    <w:basedOn w:val="1"/>
    <w:next w:val="18"/>
    <w:qFormat/>
    <w:uiPriority w:val="99"/>
    <w:pPr>
      <w:ind w:firstLine="420" w:firstLineChars="200"/>
    </w:pPr>
    <w:rPr>
      <w:rFonts w:ascii="Times New Roman" w:hAnsi="Times New Roman" w:eastAsia="宋体" w:cs="Times New Roman"/>
      <w:szCs w:val="21"/>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1292</Words>
  <Characters>1323</Characters>
  <Lines>30</Lines>
  <Paragraphs>8</Paragraphs>
  <TotalTime>1</TotalTime>
  <ScaleCrop>false</ScaleCrop>
  <LinksUpToDate>false</LinksUpToDate>
  <CharactersWithSpaces>1333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2021-12-11T15:33:00Z</dcterms:created>
  <dc:creator>t</dc:creator>
  <cp:lastModifiedBy>陈两岁</cp:lastModifiedBy>
  <cp:lastPrinted>2021-11-02T11:30:00Z</cp:lastPrinted>
  <dcterms:modified xsi:type="dcterms:W3CDTF">2025-12-02T09:30:15Z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490C2ABB635C433CBB20168B68D2FCB7</vt:lpwstr>
  </property>
</Properties>
</file>