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关于调整住院诊察费等部分医疗服务项目价格的通知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w:t>
      </w:r>
      <w:bookmarkStart w:id="0" w:name="_GoBack"/>
      <w:bookmarkEnd w:id="0"/>
      <w:r>
        <w:rPr>
          <w:rFonts w:hint="default" w:ascii="Times New Roman" w:hAnsi="Times New Roman" w:eastAsia="方正仿宋_GBK" w:cs="Times New Roman"/>
          <w:color w:val="000000"/>
          <w:sz w:val="32"/>
          <w:szCs w:val="32"/>
        </w:rPr>
        <w:t>2025〕35号</w:t>
      </w:r>
    </w:p>
    <w:p>
      <w:pPr>
        <w:pStyle w:val="8"/>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各县市区医保分局、直属分局，局属各事业单位，各公立医疗机构：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安徽省医疗保障局《关于调整省属公立医疗机构部分医疗服务价格的通知》（皖医保发〔2025〕8号）有关要求，按照“总量控制、结构调整”原则，组织公立医疗机构选取部分技术劳务价值高、长期未调整、价格矛盾突出的项目，按照医疗服务价格管理相关规定，经前期测算、听取意见、专家论证、集体审议等程序，对住院诊察费等部分医疗服务项目实施专项价格调整，现就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调整住院诊察费等20项医疗服务项目价格，具体内容见附件。调整后价格为市属三级公立医疗机构最高收费标准，二级和一级公立医疗机构的最高收费标准在此基础上分别下浮10%和15%，支付类型继续按原政策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二、各医疗机构要严格执行调整后的医疗服务项目价格，落实好住院费用清单、明码标价等相关规定，规范医疗服务收费行为，自觉接受社会监督。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各相关单位按照职责分工做好本通知涉及价格项目医保信息系统数据库更新维护工作。本通知自2025年7月20日起执行，既往政策规定与本通知不一致的，以本通知为准。如遇国家或省出台新政策，按新政策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附件：调整后住院诊察费等部分医疗服务项目价格表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芜湖市医疗保障局</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年7月1</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 xml:space="preserve">    </w:t>
      </w: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keepNext w:val="0"/>
        <w:keepLines w:val="0"/>
        <w:widowControl/>
        <w:suppressLineNumbers w:val="0"/>
        <w:jc w:val="both"/>
        <w:rPr>
          <w:rFonts w:hint="eastAsia" w:ascii="仿宋_GB2312" w:hAnsi="仿宋_GB2312" w:eastAsia="仿宋_GB2312" w:cs="仿宋_GB2312"/>
          <w:color w:val="000000"/>
          <w:kern w:val="0"/>
          <w:sz w:val="31"/>
          <w:szCs w:val="31"/>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r>
        <w:rPr>
          <w:rFonts w:hint="eastAsia" w:ascii="方正黑体_GBK" w:hAnsi="方正黑体_GBK" w:eastAsia="方正黑体_GBK" w:cs="方正黑体_GBK"/>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 xml:space="preserve">                      </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jc w:val="left"/>
        <w:textAlignment w:val="auto"/>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jc w:val="left"/>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调整后住院诊察费等部分医疗服务项目价格表</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jc w:val="left"/>
        <w:textAlignment w:val="auto"/>
        <w:rPr>
          <w:rFonts w:hint="eastAsia"/>
          <w:lang w:val="en-US" w:eastAsia="zh-CN"/>
        </w:rPr>
      </w:pPr>
    </w:p>
    <w:tbl>
      <w:tblPr>
        <w:tblStyle w:val="12"/>
        <w:tblW w:w="11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930"/>
        <w:gridCol w:w="1245"/>
        <w:gridCol w:w="3709"/>
        <w:gridCol w:w="780"/>
        <w:gridCol w:w="735"/>
        <w:gridCol w:w="900"/>
        <w:gridCol w:w="1425"/>
        <w:gridCol w:w="570"/>
        <w:gridCol w:w="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项目编码</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项目名称</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项目内涵</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除外内容</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价格（元）</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计价说明</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支付</w:t>
            </w:r>
            <w:r>
              <w:rPr>
                <w:rFonts w:hint="eastAsia" w:ascii="方正黑体_GBK" w:hAnsi="方正黑体_GBK" w:eastAsia="方正黑体_GBK" w:cs="方正黑体_GBK"/>
                <w:i w:val="0"/>
                <w:iCs w:val="0"/>
                <w:color w:val="auto"/>
                <w:kern w:val="0"/>
                <w:sz w:val="28"/>
                <w:szCs w:val="28"/>
                <w:highlight w:val="none"/>
                <w:u w:val="none"/>
                <w:lang w:val="en-US" w:eastAsia="zh-CN" w:bidi="ar"/>
              </w:rPr>
              <w:br w:type="textWrapping"/>
            </w:r>
            <w:r>
              <w:rPr>
                <w:rFonts w:hint="eastAsia" w:ascii="方正黑体_GBK" w:hAnsi="方正黑体_GBK" w:eastAsia="方正黑体_GBK" w:cs="方正黑体_GBK"/>
                <w:i w:val="0"/>
                <w:iCs w:val="0"/>
                <w:color w:val="auto"/>
                <w:kern w:val="0"/>
                <w:sz w:val="28"/>
                <w:szCs w:val="28"/>
                <w:highlight w:val="none"/>
                <w:u w:val="none"/>
                <w:lang w:val="en-US" w:eastAsia="zh-CN" w:bidi="ar"/>
              </w:rPr>
              <w:t>分类</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sz w:val="28"/>
                <w:szCs w:val="28"/>
                <w:highlight w:val="none"/>
                <w:u w:val="none"/>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统计</w:t>
            </w:r>
            <w:r>
              <w:rPr>
                <w:rFonts w:hint="eastAsia" w:ascii="方正黑体_GBK" w:hAnsi="方正黑体_GBK" w:eastAsia="方正黑体_GBK" w:cs="方正黑体_GBK"/>
                <w:i w:val="0"/>
                <w:iCs w:val="0"/>
                <w:color w:val="auto"/>
                <w:kern w:val="0"/>
                <w:sz w:val="28"/>
                <w:szCs w:val="28"/>
                <w:highlight w:val="none"/>
                <w:u w:val="none"/>
                <w:lang w:val="en-US" w:eastAsia="zh-CN" w:bidi="ar"/>
              </w:rPr>
              <w:br w:type="textWrapping"/>
            </w:r>
            <w:r>
              <w:rPr>
                <w:rFonts w:hint="eastAsia" w:ascii="方正黑体_GBK" w:hAnsi="方正黑体_GBK" w:eastAsia="方正黑体_GBK" w:cs="方正黑体_GBK"/>
                <w:i w:val="0"/>
                <w:iCs w:val="0"/>
                <w:color w:val="auto"/>
                <w:kern w:val="0"/>
                <w:sz w:val="28"/>
                <w:szCs w:val="28"/>
                <w:highlight w:val="none"/>
                <w:u w:val="none"/>
                <w:lang w:val="en-US" w:eastAsia="zh-CN" w:bidi="ar"/>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120300001</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中心吸氧</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小时</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AAAD0001</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住院诊察费</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6岁以下儿童加收30%。</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331602004</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浅表肿物切除术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全身各部位皮肤和皮下组织皮脂腺囊肿、痣、疣、脂肪瘤、纤维瘤、小血管瘤等分别参照执行；不含乳腺肿物和淋巴结切除</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每个肿物</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激光手术加收30元</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ABDA0001</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经外周静脉置入中心静脉导管术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评估患者病情、合作程度及穿刺血管情况等，核对医嘱及患者信息，取适当体位，检查导管，测量导管插入长度，选择穿刺部位，皮肤消毒(直径10厘米)，无菌注射器预冲导管，静脉穿刺，送导管至预计长度，撤导丝，抽回血并冲管，修剪长度安装连接器，连接肝素帽并正压封管，无菌敷料固定，处理用物，观察患者反应并记录，做好健康教育及心理护理。不含超声引导、X线检查。</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中心静脉导管</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220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拔管术50元。6岁以下儿童加收30%。</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311201008</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宫颈活检术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包括阴道壁活检及阴道囊肿穿刺术</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55</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331003022</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阑尾切除术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指单纯性</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900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化脓性、坏疽性加收100。</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340100009</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低频脉冲电治疗</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包括感应电治疗、神经肌肉电刺激治疗、失神经肌肉电刺激治疗、间动电疗、经皮神经电刺激治疗、功能性电刺激治疗、银棘状刺激疗法(SSP)</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340200037</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吞咽功能障碍训练</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both"/>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限中、重度功能障碍。</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340200038</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认知知觉功能障碍训练</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both"/>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限器质性病变导致的认知知觉功能障碍。</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311201010</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宫颈扩张术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含宫颈插管</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45</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311201011</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宫颈内口探查术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both"/>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45</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311201050</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刮宫术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含常规刮宫；包括分段诊断性刮宫；不含产后刮宫、葡萄胎刮宫</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180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311201053</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人工流产术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含宫颈扩张</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畸形子宫、疤痕子宫、哺乳期子宫、钳刮术加收50%，微管人流加收100%</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331006002</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胆囊切除术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逐层进腹，探查，解剖胆囊三角，胆囊动脉结扎，胆囊管结扎，游离切除胆囊，处理胆囊床，止血，经腹壁另戳孔置管引出固定，清点器具、纱布无误，冲洗腹腔，逐层关腹。</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1600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331505001</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锁骨骨折切开复位内固定术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摆体位，选择适合入路切开，保护周围血管神经组织，保护骨折端血供，显露骨折形态，准确复位骨折端，选择相应内固定物进行骨折固定，冲洗伤口，放置引流，逐层缝合伤口。不含术中X线引导。</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1600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肩胛骨骨折切开复位内固定术参照执行。</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331505021</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胫骨干骨折切开复位内固定术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摆体位，选择适合入路切开，保护周围软组织，防止血管神经损伤，保护骨折端血供，显露骨折形态，用力牵引骨折端，准确复位骨折端，选择适宜的钢板螺丝钉固定系统，反复钻孔，置入螺钉，固定钢板，进行骨折固定，冲洗伤口，放置引流，逐层缝合伤口。必要时术中X线检查骨折及内固定物位置。不含术中X线引导、术中导航。</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2000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1110000202</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院内会诊主治医师及以下</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both"/>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331303015</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全子宫+双附件切除术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消毒铺巾，开腹，切除并缝合双侧卵巢悬韧带、双侧输卵管系膜、子宫圆韧带，打开阔韧带前后页，下推膀胱，下推直肠，切断双侧子宫动静脉，切断双侧子宫主韧带和骶韧带，缝合阴道断端，止血，关腹。不含淋巴结清扫。</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2300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331601005</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乳腺癌根治术</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包括传统与改良根治两种方式</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取皮植皮术</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单侧</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3300</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乳腺癌保乳术参照执行；需植皮术加收200元</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outlineLvl w:val="9"/>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AAAK0001</w:t>
            </w:r>
          </w:p>
        </w:tc>
        <w:tc>
          <w:tcPr>
            <w:tcW w:w="124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住院中医辨证论治</w:t>
            </w:r>
          </w:p>
        </w:tc>
        <w:tc>
          <w:tcPr>
            <w:tcW w:w="37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指由中医、中西医结合医务人员对住院患者提供的中医诊疗服务。通过望闻问切收集中医四诊信息，依据中医理论进行辨证，分析病因、病位、病性及病机转化，作出证候诊断，提出治疗方案。</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27</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6岁以下儿童加收30%。</w:t>
            </w:r>
          </w:p>
        </w:tc>
        <w:tc>
          <w:tcPr>
            <w:tcW w:w="57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C</w:t>
            </w:r>
          </w:p>
        </w:tc>
      </w:tr>
    </w:tbl>
    <w:p>
      <w:pPr>
        <w:keepNext w:val="0"/>
        <w:keepLines w:val="0"/>
        <w:widowControl/>
        <w:suppressLineNumbers w:val="0"/>
        <w:jc w:val="both"/>
        <w:rPr>
          <w:rFonts w:hint="default" w:ascii="仿宋_GB2312" w:hAnsi="仿宋_GB2312" w:eastAsia="仿宋_GB2312" w:cs="仿宋_GB2312"/>
          <w:color w:val="000000"/>
          <w:kern w:val="0"/>
          <w:sz w:val="31"/>
          <w:szCs w:val="31"/>
          <w:lang w:val="en-US" w:eastAsia="zh-CN" w:bidi="ar"/>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仿宋_GB2312" w:hAnsi="仿宋_GB2312" w:eastAsia="仿宋_GB2312" w:cs="仿宋_GB2312"/>
          <w:color w:val="000000"/>
          <w:kern w:val="0"/>
          <w:sz w:val="31"/>
          <w:szCs w:val="31"/>
          <w:lang w:val="en-US" w:eastAsia="zh-CN" w:bidi="ar"/>
        </w:rPr>
      </w:pPr>
    </w:p>
    <w:p>
      <w:pPr>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9"/>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9"/>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656E6"/>
    <w:rsid w:val="53D8014D"/>
    <w:rsid w:val="5550603F"/>
    <w:rsid w:val="55A56411"/>
    <w:rsid w:val="55E064E0"/>
    <w:rsid w:val="5660369E"/>
    <w:rsid w:val="572C6D10"/>
    <w:rsid w:val="58FF1588"/>
    <w:rsid w:val="5A9DFC9A"/>
    <w:rsid w:val="5BED07E7"/>
    <w:rsid w:val="5DC34279"/>
    <w:rsid w:val="5ED1FC91"/>
    <w:rsid w:val="5F2929D4"/>
    <w:rsid w:val="5FDF14E9"/>
    <w:rsid w:val="5FEF63C4"/>
    <w:rsid w:val="5FEFFD73"/>
    <w:rsid w:val="608816D1"/>
    <w:rsid w:val="60EF4E7F"/>
    <w:rsid w:val="632B726B"/>
    <w:rsid w:val="665233C1"/>
    <w:rsid w:val="67750F81"/>
    <w:rsid w:val="67FFCE1D"/>
    <w:rsid w:val="6AD45862"/>
    <w:rsid w:val="6AD9688B"/>
    <w:rsid w:val="6AEE1AB5"/>
    <w:rsid w:val="6C681542"/>
    <w:rsid w:val="6CFE7E69"/>
    <w:rsid w:val="6D0E3F22"/>
    <w:rsid w:val="6DAE3E2B"/>
    <w:rsid w:val="6F2B6B62"/>
    <w:rsid w:val="6F8477EE"/>
    <w:rsid w:val="6FB5D51A"/>
    <w:rsid w:val="6FBC5506"/>
    <w:rsid w:val="6FFEFF03"/>
    <w:rsid w:val="6FFF01FF"/>
    <w:rsid w:val="70D53502"/>
    <w:rsid w:val="737C3597"/>
    <w:rsid w:val="73826795"/>
    <w:rsid w:val="73FD4D9A"/>
    <w:rsid w:val="73FF9C48"/>
    <w:rsid w:val="74F1485B"/>
    <w:rsid w:val="778DBF97"/>
    <w:rsid w:val="77DF338F"/>
    <w:rsid w:val="7BFABE2F"/>
    <w:rsid w:val="7C844D47"/>
    <w:rsid w:val="7C9011D9"/>
    <w:rsid w:val="7CAF8EB9"/>
    <w:rsid w:val="7CBEC9A0"/>
    <w:rsid w:val="7CDFD004"/>
    <w:rsid w:val="7DB3CE62"/>
    <w:rsid w:val="7DBAEFF6"/>
    <w:rsid w:val="7DC651C5"/>
    <w:rsid w:val="7E6F92FA"/>
    <w:rsid w:val="7EF339BC"/>
    <w:rsid w:val="7EFFA363"/>
    <w:rsid w:val="7F27B9A0"/>
    <w:rsid w:val="7FB7BCC5"/>
    <w:rsid w:val="7FCC2834"/>
    <w:rsid w:val="7FFF2AAD"/>
    <w:rsid w:val="7FFF3D0A"/>
    <w:rsid w:val="7FFF623D"/>
    <w:rsid w:val="8CFBF020"/>
    <w:rsid w:val="8EF7A998"/>
    <w:rsid w:val="93EF650F"/>
    <w:rsid w:val="97FF0B14"/>
    <w:rsid w:val="9BBBC31A"/>
    <w:rsid w:val="9BFF8357"/>
    <w:rsid w:val="9FFD5230"/>
    <w:rsid w:val="ABDD4EDE"/>
    <w:rsid w:val="ABF36FEE"/>
    <w:rsid w:val="AFF7D1AA"/>
    <w:rsid w:val="B1BD887D"/>
    <w:rsid w:val="B9FD8933"/>
    <w:rsid w:val="BE7F80C5"/>
    <w:rsid w:val="BFEF8B8C"/>
    <w:rsid w:val="BFF77C84"/>
    <w:rsid w:val="C5DF61A4"/>
    <w:rsid w:val="CF466094"/>
    <w:rsid w:val="D6B76DA2"/>
    <w:rsid w:val="D87BEDBA"/>
    <w:rsid w:val="DF5B4551"/>
    <w:rsid w:val="DF9B1977"/>
    <w:rsid w:val="DFA4211E"/>
    <w:rsid w:val="DFBFF891"/>
    <w:rsid w:val="E7666AEB"/>
    <w:rsid w:val="E77F6F06"/>
    <w:rsid w:val="EBF3C4F2"/>
    <w:rsid w:val="EDFF38AB"/>
    <w:rsid w:val="EF6B319B"/>
    <w:rsid w:val="EFFD2213"/>
    <w:rsid w:val="F2FF8B91"/>
    <w:rsid w:val="F7330027"/>
    <w:rsid w:val="F73BDBDD"/>
    <w:rsid w:val="F7DC2438"/>
    <w:rsid w:val="FBA768D8"/>
    <w:rsid w:val="FBB7CF23"/>
    <w:rsid w:val="FBFBD7B9"/>
    <w:rsid w:val="FDA60DCA"/>
    <w:rsid w:val="FE7F6EB4"/>
    <w:rsid w:val="FF95F1E8"/>
    <w:rsid w:val="FFC7F08A"/>
    <w:rsid w:val="FFCDC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unhideWhenUsed/>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outlineLvl w:val="2"/>
    </w:pPr>
    <w:rPr>
      <w:rFonts w:ascii="黑体" w:hAnsi="黑体" w:eastAsia="黑体" w:cs="黑体"/>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Calibri" w:hAnsi="Calibri" w:eastAsia="宋体" w:cs="Times New Roman"/>
      <w:sz w:val="21"/>
      <w:szCs w:val="22"/>
    </w:rPr>
  </w:style>
  <w:style w:type="paragraph" w:styleId="5">
    <w:name w:val="Normal Indent"/>
    <w:basedOn w:val="1"/>
    <w:qFormat/>
    <w:uiPriority w:val="0"/>
    <w:pPr>
      <w:ind w:firstLine="420"/>
    </w:pPr>
    <w:rPr>
      <w:rFonts w:ascii="Times New Roman" w:hAnsi="Times New Roman" w:cs="Times New Roman"/>
      <w:szCs w:val="20"/>
    </w:rPr>
  </w:style>
  <w:style w:type="paragraph" w:styleId="6">
    <w:name w:val="annotation text"/>
    <w:basedOn w:val="1"/>
    <w:qFormat/>
    <w:uiPriority w:val="0"/>
    <w:pPr>
      <w:jc w:val="left"/>
    </w:pPr>
  </w:style>
  <w:style w:type="paragraph" w:styleId="7">
    <w:name w:val="Plain Text"/>
    <w:basedOn w:val="1"/>
    <w:link w:val="16"/>
    <w:qFormat/>
    <w:uiPriority w:val="0"/>
    <w:rPr>
      <w:rFonts w:ascii="宋体" w:hAnsi="Courier New" w:eastAsia="仿宋_GB2312" w:cs="Courier New"/>
      <w:sz w:val="32"/>
      <w:szCs w:val="21"/>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unhideWhenUsed/>
    <w:qFormat/>
    <w:uiPriority w:val="99"/>
    <w:pPr>
      <w:spacing w:after="120" w:line="480" w:lineRule="auto"/>
    </w:pPr>
    <w:rPr>
      <w:rFonts w:ascii="Calibri" w:hAnsi="Calibri" w:eastAsia="宋体" w:cs="Times New Roman"/>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纯文本 字符"/>
    <w:basedOn w:val="13"/>
    <w:link w:val="7"/>
    <w:qFormat/>
    <w:uiPriority w:val="0"/>
    <w:rPr>
      <w:rFonts w:ascii="宋体" w:hAnsi="Courier New" w:eastAsia="仿宋_GB2312" w:cs="Courier New"/>
      <w:kern w:val="2"/>
      <w:sz w:val="32"/>
      <w:szCs w:val="21"/>
    </w:rPr>
  </w:style>
  <w:style w:type="paragraph" w:customStyle="1" w:styleId="17">
    <w:name w:val="_Style 9"/>
    <w:basedOn w:val="1"/>
    <w:next w:val="18"/>
    <w:qFormat/>
    <w:uiPriority w:val="99"/>
    <w:pPr>
      <w:ind w:firstLine="420" w:firstLineChars="200"/>
    </w:pPr>
    <w:rPr>
      <w:rFonts w:ascii="Times New Roman" w:hAnsi="Times New Roman" w:eastAsia="宋体" w:cs="Times New Roman"/>
      <w:szCs w:val="21"/>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1292</Words>
  <Characters>1323</Characters>
  <Lines>30</Lines>
  <Paragraphs>8</Paragraphs>
  <TotalTime>11</TotalTime>
  <ScaleCrop>false</ScaleCrop>
  <LinksUpToDate>false</LinksUpToDate>
  <CharactersWithSpaces>1333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2021-12-10T23:33:00Z</dcterms:created>
  <dc:creator>t</dc:creator>
  <cp:lastModifiedBy>陈两岁</cp:lastModifiedBy>
  <cp:lastPrinted>2021-11-01T19:30:00Z</cp:lastPrinted>
  <dcterms:modified xsi:type="dcterms:W3CDTF">2025-12-01T15:24:54Z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490C2ABB635C433CBB20168B68D2FCB7</vt:lpwstr>
  </property>
</Properties>
</file>